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2"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1"/>
          <w:szCs w:val="11"/>
          <w:b w:val="1"/>
          <w:bCs w:val="1"/>
          <w:color w:val="auto"/>
        </w:rPr>
        <w:t>As filed with the Securities and Exchange Commission on May 20, 2026.</w:t>
      </w:r>
    </w:p>
    <w:p>
      <w:pPr>
        <w:spacing w:after="0" w:line="2" w:lineRule="exact"/>
        <w:rPr>
          <w:sz w:val="24"/>
          <w:szCs w:val="24"/>
          <w:color w:val="auto"/>
        </w:rPr>
      </w:pPr>
    </w:p>
    <w:p>
      <w:pPr>
        <w:ind w:left="8540"/>
        <w:spacing w:after="0"/>
        <w:rPr>
          <w:sz w:val="20"/>
          <w:szCs w:val="20"/>
          <w:color w:val="auto"/>
        </w:rPr>
      </w:pPr>
      <w:r>
        <w:rPr>
          <w:rFonts w:ascii="Times New Roman" w:cs="Times New Roman" w:eastAsia="Times New Roman" w:hAnsi="Times New Roman"/>
          <w:sz w:val="11"/>
          <w:szCs w:val="11"/>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893445</wp:posOffset>
            </wp:positionH>
            <wp:positionV relativeFrom="paragraph">
              <wp:posOffset>48260</wp:posOffset>
            </wp:positionV>
            <wp:extent cx="5387975"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87975" cy="6350"/>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81280</wp:posOffset>
            </wp:positionV>
            <wp:extent cx="538797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87975" cy="6350"/>
                    </a:xfrm>
                    <a:prstGeom prst="rect">
                      <a:avLst/>
                    </a:prstGeom>
                    <a:noFill/>
                  </pic:spPr>
                </pic:pic>
              </a:graphicData>
            </a:graphic>
          </wp:anchor>
        </w:drawing>
      </w:r>
    </w:p>
    <w:p>
      <w:pPr>
        <w:spacing w:after="0" w:line="14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UNITED STATES</w:t>
      </w:r>
    </w:p>
    <w:p>
      <w:pPr>
        <w:spacing w:after="0" w:line="36"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8"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3019425</wp:posOffset>
            </wp:positionH>
            <wp:positionV relativeFrom="paragraph">
              <wp:posOffset>95250</wp:posOffset>
            </wp:positionV>
            <wp:extent cx="112903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29030" cy="6350"/>
                    </a:xfrm>
                    <a:prstGeom prst="rect">
                      <a:avLst/>
                    </a:prstGeom>
                    <a:noFill/>
                  </pic:spPr>
                </pic:pic>
              </a:graphicData>
            </a:graphic>
          </wp:anchor>
        </w:drawing>
      </w:r>
    </w:p>
    <w:p>
      <w:pPr>
        <w:spacing w:after="0" w:line="18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FORM S-1</w:t>
      </w:r>
    </w:p>
    <w:p>
      <w:pPr>
        <w:spacing w:after="0" w:line="36"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REGISTRATION STATEMENT</w:t>
      </w:r>
    </w:p>
    <w:p>
      <w:pPr>
        <w:spacing w:after="0" w:line="8"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i w:val="1"/>
          <w:iCs w:val="1"/>
          <w:color w:val="auto"/>
        </w:rPr>
        <w:t>UNDER</w:t>
      </w:r>
    </w:p>
    <w:p>
      <w:pPr>
        <w:spacing w:after="0" w:line="5"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3019425</wp:posOffset>
            </wp:positionH>
            <wp:positionV relativeFrom="paragraph">
              <wp:posOffset>95885</wp:posOffset>
            </wp:positionV>
            <wp:extent cx="112903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29030" cy="6350"/>
                    </a:xfrm>
                    <a:prstGeom prst="rect">
                      <a:avLst/>
                    </a:prstGeom>
                    <a:noFill/>
                  </pic:spPr>
                </pic:pic>
              </a:graphicData>
            </a:graphic>
          </wp:anchor>
        </w:drawing>
      </w:r>
    </w:p>
    <w:p>
      <w:pPr>
        <w:spacing w:after="0" w:line="15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8"/>
          <w:szCs w:val="28"/>
          <w:b w:val="1"/>
          <w:bCs w:val="1"/>
          <w:color w:val="auto"/>
        </w:rPr>
        <w:t>Medline Inc.</w:t>
      </w:r>
    </w:p>
    <w:p>
      <w:pPr>
        <w:spacing w:after="0" w:line="29"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3019425</wp:posOffset>
            </wp:positionH>
            <wp:positionV relativeFrom="paragraph">
              <wp:posOffset>94615</wp:posOffset>
            </wp:positionV>
            <wp:extent cx="112903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29030" cy="6350"/>
                    </a:xfrm>
                    <a:prstGeom prst="rect">
                      <a:avLst/>
                    </a:prstGeom>
                    <a:noFill/>
                  </pic:spPr>
                </pic:pic>
              </a:graphicData>
            </a:graphic>
          </wp:anchor>
        </w:drawing>
      </w:r>
    </w:p>
    <w:p>
      <w:pPr>
        <w:spacing w:after="0" w:line="195" w:lineRule="exact"/>
        <w:rPr>
          <w:sz w:val="24"/>
          <w:szCs w:val="24"/>
          <w:color w:val="auto"/>
        </w:rPr>
      </w:pPr>
    </w:p>
    <w:tbl>
      <w:tblPr>
        <w:tblLayout w:type="fixed"/>
        <w:tblInd w:w="2200" w:type="dxa"/>
        <w:tblCellMar>
          <w:top w:w="0" w:type="dxa"/>
          <w:left w:w="0" w:type="dxa"/>
          <w:bottom w:w="0" w:type="dxa"/>
          <w:right w:w="0" w:type="dxa"/>
        </w:tblCellMar>
      </w:tblPr>
      <w:tr>
        <w:trPr>
          <w:trHeight w:val="126"/>
        </w:trPr>
        <w:tc>
          <w:tcPr>
            <w:tcW w:w="2100" w:type="dxa"/>
            <w:vAlign w:val="bottom"/>
          </w:tcPr>
          <w:p>
            <w:pPr>
              <w:jc w:val="center"/>
              <w:ind w:right="769"/>
              <w:spacing w:after="0"/>
              <w:rPr>
                <w:sz w:val="20"/>
                <w:szCs w:val="20"/>
                <w:color w:val="auto"/>
              </w:rPr>
            </w:pPr>
            <w:r>
              <w:rPr>
                <w:rFonts w:ascii="Times New Roman" w:cs="Times New Roman" w:eastAsia="Times New Roman" w:hAnsi="Times New Roman"/>
                <w:sz w:val="11"/>
                <w:szCs w:val="11"/>
                <w:b w:val="1"/>
                <w:bCs w:val="1"/>
                <w:color w:val="auto"/>
                <w:w w:val="98"/>
              </w:rPr>
              <w:t>Delaware</w:t>
            </w:r>
          </w:p>
        </w:tc>
        <w:tc>
          <w:tcPr>
            <w:tcW w:w="2940" w:type="dxa"/>
            <w:vAlign w:val="bottom"/>
          </w:tcPr>
          <w:p>
            <w:pPr>
              <w:jc w:val="center"/>
              <w:ind w:right="29"/>
              <w:spacing w:after="0"/>
              <w:rPr>
                <w:sz w:val="20"/>
                <w:szCs w:val="20"/>
                <w:color w:val="auto"/>
              </w:rPr>
            </w:pPr>
            <w:r>
              <w:rPr>
                <w:rFonts w:ascii="Times New Roman" w:cs="Times New Roman" w:eastAsia="Times New Roman" w:hAnsi="Times New Roman"/>
                <w:sz w:val="11"/>
                <w:szCs w:val="11"/>
                <w:b w:val="1"/>
                <w:bCs w:val="1"/>
                <w:color w:val="auto"/>
                <w:w w:val="99"/>
              </w:rPr>
              <w:t>3841</w:t>
            </w:r>
          </w:p>
        </w:tc>
        <w:tc>
          <w:tcPr>
            <w:tcW w:w="1660" w:type="dxa"/>
            <w:vAlign w:val="bottom"/>
          </w:tcPr>
          <w:p>
            <w:pPr>
              <w:jc w:val="center"/>
              <w:ind w:left="869"/>
              <w:spacing w:after="0"/>
              <w:rPr>
                <w:sz w:val="20"/>
                <w:szCs w:val="20"/>
                <w:color w:val="auto"/>
              </w:rPr>
            </w:pPr>
            <w:r>
              <w:rPr>
                <w:rFonts w:ascii="Times New Roman" w:cs="Times New Roman" w:eastAsia="Times New Roman" w:hAnsi="Times New Roman"/>
                <w:sz w:val="11"/>
                <w:szCs w:val="11"/>
                <w:b w:val="1"/>
                <w:bCs w:val="1"/>
                <w:color w:val="auto"/>
              </w:rPr>
              <w:t>33-1845288</w:t>
            </w:r>
          </w:p>
        </w:tc>
      </w:tr>
      <w:tr>
        <w:trPr>
          <w:trHeight w:val="104"/>
        </w:trPr>
        <w:tc>
          <w:tcPr>
            <w:tcW w:w="2100" w:type="dxa"/>
            <w:vAlign w:val="bottom"/>
          </w:tcPr>
          <w:p>
            <w:pPr>
              <w:jc w:val="center"/>
              <w:ind w:right="769"/>
              <w:spacing w:after="0" w:line="104" w:lineRule="exact"/>
              <w:rPr>
                <w:sz w:val="20"/>
                <w:szCs w:val="20"/>
                <w:color w:val="auto"/>
              </w:rPr>
            </w:pPr>
            <w:r>
              <w:rPr>
                <w:rFonts w:ascii="Times New Roman" w:cs="Times New Roman" w:eastAsia="Times New Roman" w:hAnsi="Times New Roman"/>
                <w:sz w:val="10"/>
                <w:szCs w:val="10"/>
                <w:b w:val="1"/>
                <w:bCs w:val="1"/>
                <w:color w:val="auto"/>
                <w:w w:val="95"/>
              </w:rPr>
              <w:t>(State or other jurisdiction of</w:t>
            </w:r>
          </w:p>
        </w:tc>
        <w:tc>
          <w:tcPr>
            <w:tcW w:w="2940" w:type="dxa"/>
            <w:vAlign w:val="bottom"/>
          </w:tcPr>
          <w:p>
            <w:pPr>
              <w:jc w:val="center"/>
              <w:ind w:right="29"/>
              <w:spacing w:after="0" w:line="104" w:lineRule="exact"/>
              <w:rPr>
                <w:sz w:val="20"/>
                <w:szCs w:val="20"/>
                <w:color w:val="auto"/>
              </w:rPr>
            </w:pPr>
            <w:r>
              <w:rPr>
                <w:rFonts w:ascii="Times New Roman" w:cs="Times New Roman" w:eastAsia="Times New Roman" w:hAnsi="Times New Roman"/>
                <w:sz w:val="10"/>
                <w:szCs w:val="10"/>
                <w:b w:val="1"/>
                <w:bCs w:val="1"/>
                <w:color w:val="auto"/>
                <w:w w:val="95"/>
              </w:rPr>
              <w:t>(Primary Standard Industrial</w:t>
            </w:r>
          </w:p>
        </w:tc>
        <w:tc>
          <w:tcPr>
            <w:tcW w:w="1660" w:type="dxa"/>
            <w:vAlign w:val="bottom"/>
          </w:tcPr>
          <w:p>
            <w:pPr>
              <w:jc w:val="center"/>
              <w:ind w:left="869"/>
              <w:spacing w:after="0" w:line="104" w:lineRule="exact"/>
              <w:rPr>
                <w:sz w:val="20"/>
                <w:szCs w:val="20"/>
                <w:color w:val="auto"/>
              </w:rPr>
            </w:pPr>
            <w:r>
              <w:rPr>
                <w:rFonts w:ascii="Times New Roman" w:cs="Times New Roman" w:eastAsia="Times New Roman" w:hAnsi="Times New Roman"/>
                <w:sz w:val="10"/>
                <w:szCs w:val="10"/>
                <w:b w:val="1"/>
                <w:bCs w:val="1"/>
                <w:color w:val="auto"/>
                <w:w w:val="96"/>
              </w:rPr>
              <w:t>(I.R.S. Employer</w:t>
            </w:r>
          </w:p>
        </w:tc>
      </w:tr>
      <w:tr>
        <w:trPr>
          <w:trHeight w:val="126"/>
        </w:trPr>
        <w:tc>
          <w:tcPr>
            <w:tcW w:w="2100" w:type="dxa"/>
            <w:vAlign w:val="bottom"/>
          </w:tcPr>
          <w:p>
            <w:pPr>
              <w:jc w:val="center"/>
              <w:ind w:right="769"/>
              <w:spacing w:after="0"/>
              <w:rPr>
                <w:sz w:val="20"/>
                <w:szCs w:val="20"/>
                <w:color w:val="auto"/>
              </w:rPr>
            </w:pPr>
            <w:r>
              <w:rPr>
                <w:rFonts w:ascii="Times New Roman" w:cs="Times New Roman" w:eastAsia="Times New Roman" w:hAnsi="Times New Roman"/>
                <w:sz w:val="10"/>
                <w:szCs w:val="10"/>
                <w:b w:val="1"/>
                <w:bCs w:val="1"/>
                <w:color w:val="auto"/>
                <w:w w:val="98"/>
              </w:rPr>
              <w:t>incorporation or organization)</w:t>
            </w:r>
          </w:p>
        </w:tc>
        <w:tc>
          <w:tcPr>
            <w:tcW w:w="2940" w:type="dxa"/>
            <w:vAlign w:val="bottom"/>
          </w:tcPr>
          <w:p>
            <w:pPr>
              <w:jc w:val="center"/>
              <w:ind w:right="9"/>
              <w:spacing w:after="0"/>
              <w:rPr>
                <w:sz w:val="20"/>
                <w:szCs w:val="20"/>
                <w:color w:val="auto"/>
              </w:rPr>
            </w:pPr>
            <w:r>
              <w:rPr>
                <w:rFonts w:ascii="Times New Roman" w:cs="Times New Roman" w:eastAsia="Times New Roman" w:hAnsi="Times New Roman"/>
                <w:sz w:val="10"/>
                <w:szCs w:val="10"/>
                <w:b w:val="1"/>
                <w:bCs w:val="1"/>
                <w:color w:val="auto"/>
                <w:w w:val="96"/>
              </w:rPr>
              <w:t>Classification Code Number)</w:t>
            </w:r>
          </w:p>
        </w:tc>
        <w:tc>
          <w:tcPr>
            <w:tcW w:w="1660" w:type="dxa"/>
            <w:vAlign w:val="bottom"/>
          </w:tcPr>
          <w:p>
            <w:pPr>
              <w:jc w:val="center"/>
              <w:ind w:left="849"/>
              <w:spacing w:after="0"/>
              <w:rPr>
                <w:sz w:val="20"/>
                <w:szCs w:val="20"/>
                <w:color w:val="auto"/>
              </w:rPr>
            </w:pPr>
            <w:r>
              <w:rPr>
                <w:rFonts w:ascii="Times New Roman" w:cs="Times New Roman" w:eastAsia="Times New Roman" w:hAnsi="Times New Roman"/>
                <w:sz w:val="10"/>
                <w:szCs w:val="10"/>
                <w:b w:val="1"/>
                <w:bCs w:val="1"/>
                <w:color w:val="auto"/>
                <w:w w:val="96"/>
              </w:rPr>
              <w:t>Identification No.)</w:t>
            </w:r>
          </w:p>
        </w:tc>
      </w:tr>
    </w:tbl>
    <w:p>
      <w:pPr>
        <w:spacing w:after="0" w:line="46"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1"/>
          <w:szCs w:val="11"/>
          <w:b w:val="1"/>
          <w:bCs w:val="1"/>
          <w:color w:val="auto"/>
        </w:rPr>
        <w:t>3 Lakes Drive</w:t>
      </w:r>
    </w:p>
    <w:p>
      <w:pPr>
        <w:jc w:val="center"/>
        <w:ind w:right="-1140"/>
        <w:spacing w:after="0" w:line="220" w:lineRule="auto"/>
        <w:rPr>
          <w:sz w:val="20"/>
          <w:szCs w:val="20"/>
          <w:color w:val="auto"/>
        </w:rPr>
      </w:pPr>
      <w:r>
        <w:rPr>
          <w:rFonts w:ascii="Times New Roman" w:cs="Times New Roman" w:eastAsia="Times New Roman" w:hAnsi="Times New Roman"/>
          <w:sz w:val="11"/>
          <w:szCs w:val="11"/>
          <w:b w:val="1"/>
          <w:bCs w:val="1"/>
          <w:color w:val="auto"/>
        </w:rPr>
        <w:t>Northfield, Illinois 60093</w:t>
      </w:r>
    </w:p>
    <w:p>
      <w:pPr>
        <w:jc w:val="center"/>
        <w:ind w:right="-1140"/>
        <w:spacing w:after="0" w:line="221" w:lineRule="auto"/>
        <w:rPr>
          <w:sz w:val="20"/>
          <w:szCs w:val="20"/>
          <w:color w:val="auto"/>
        </w:rPr>
      </w:pPr>
      <w:r>
        <w:rPr>
          <w:rFonts w:ascii="Times New Roman" w:cs="Times New Roman" w:eastAsia="Times New Roman" w:hAnsi="Times New Roman"/>
          <w:sz w:val="11"/>
          <w:szCs w:val="11"/>
          <w:b w:val="1"/>
          <w:bCs w:val="1"/>
          <w:color w:val="auto"/>
        </w:rPr>
        <w:t>Telephone: (847) 949-5500</w:t>
      </w:r>
    </w:p>
    <w:p>
      <w:pPr>
        <w:ind w:left="3260"/>
        <w:spacing w:after="0"/>
        <w:rPr>
          <w:sz w:val="20"/>
          <w:szCs w:val="20"/>
          <w:color w:val="auto"/>
        </w:rPr>
      </w:pPr>
      <w:r>
        <w:rPr>
          <w:rFonts w:ascii="Times New Roman" w:cs="Times New Roman" w:eastAsia="Times New Roman" w:hAnsi="Times New Roman"/>
          <w:sz w:val="10"/>
          <w:szCs w:val="10"/>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3019425</wp:posOffset>
            </wp:positionH>
            <wp:positionV relativeFrom="paragraph">
              <wp:posOffset>87630</wp:posOffset>
            </wp:positionV>
            <wp:extent cx="112903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29030" cy="6350"/>
                    </a:xfrm>
                    <a:prstGeom prst="rect">
                      <a:avLst/>
                    </a:prstGeom>
                    <a:noFill/>
                  </pic:spPr>
                </pic:pic>
              </a:graphicData>
            </a:graphic>
          </wp:anchor>
        </w:drawing>
      </w:r>
    </w:p>
    <w:p>
      <w:pPr>
        <w:spacing w:after="0" w:line="16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1"/>
          <w:szCs w:val="11"/>
          <w:b w:val="1"/>
          <w:bCs w:val="1"/>
          <w:color w:val="auto"/>
        </w:rPr>
        <w:t>James Boyle</w:t>
      </w:r>
    </w:p>
    <w:p>
      <w:pPr>
        <w:jc w:val="center"/>
        <w:ind w:right="-1140"/>
        <w:spacing w:after="0" w:line="220" w:lineRule="auto"/>
        <w:rPr>
          <w:sz w:val="20"/>
          <w:szCs w:val="20"/>
          <w:color w:val="auto"/>
        </w:rPr>
      </w:pPr>
      <w:r>
        <w:rPr>
          <w:rFonts w:ascii="Times New Roman" w:cs="Times New Roman" w:eastAsia="Times New Roman" w:hAnsi="Times New Roman"/>
          <w:sz w:val="11"/>
          <w:szCs w:val="11"/>
          <w:b w:val="1"/>
          <w:bCs w:val="1"/>
          <w:color w:val="auto"/>
        </w:rPr>
        <w:t>Chief Executive Officer</w:t>
      </w:r>
    </w:p>
    <w:p>
      <w:pPr>
        <w:jc w:val="center"/>
        <w:ind w:right="-1140"/>
        <w:spacing w:after="0" w:line="217" w:lineRule="auto"/>
        <w:rPr>
          <w:sz w:val="20"/>
          <w:szCs w:val="20"/>
          <w:color w:val="auto"/>
        </w:rPr>
      </w:pPr>
      <w:r>
        <w:rPr>
          <w:rFonts w:ascii="Times New Roman" w:cs="Times New Roman" w:eastAsia="Times New Roman" w:hAnsi="Times New Roman"/>
          <w:sz w:val="11"/>
          <w:szCs w:val="11"/>
          <w:b w:val="1"/>
          <w:bCs w:val="1"/>
          <w:color w:val="auto"/>
        </w:rPr>
        <w:t>Medline Inc.</w:t>
      </w:r>
    </w:p>
    <w:p>
      <w:pPr>
        <w:jc w:val="center"/>
        <w:ind w:right="-1140"/>
        <w:spacing w:after="0" w:line="217" w:lineRule="auto"/>
        <w:rPr>
          <w:sz w:val="20"/>
          <w:szCs w:val="20"/>
          <w:color w:val="auto"/>
        </w:rPr>
      </w:pPr>
      <w:r>
        <w:rPr>
          <w:rFonts w:ascii="Times New Roman" w:cs="Times New Roman" w:eastAsia="Times New Roman" w:hAnsi="Times New Roman"/>
          <w:sz w:val="11"/>
          <w:szCs w:val="11"/>
          <w:b w:val="1"/>
          <w:bCs w:val="1"/>
          <w:color w:val="auto"/>
        </w:rPr>
        <w:t>3 Lakes Drive</w:t>
      </w:r>
    </w:p>
    <w:p>
      <w:pPr>
        <w:jc w:val="center"/>
        <w:ind w:right="-1140"/>
        <w:spacing w:after="0" w:line="217" w:lineRule="auto"/>
        <w:rPr>
          <w:sz w:val="20"/>
          <w:szCs w:val="20"/>
          <w:color w:val="auto"/>
        </w:rPr>
      </w:pPr>
      <w:r>
        <w:rPr>
          <w:rFonts w:ascii="Times New Roman" w:cs="Times New Roman" w:eastAsia="Times New Roman" w:hAnsi="Times New Roman"/>
          <w:sz w:val="11"/>
          <w:szCs w:val="11"/>
          <w:b w:val="1"/>
          <w:bCs w:val="1"/>
          <w:color w:val="auto"/>
        </w:rPr>
        <w:t>Northfield, Illinois 60093</w:t>
      </w:r>
    </w:p>
    <w:p>
      <w:pPr>
        <w:jc w:val="center"/>
        <w:ind w:right="-1140"/>
        <w:spacing w:after="0" w:line="221" w:lineRule="auto"/>
        <w:rPr>
          <w:sz w:val="20"/>
          <w:szCs w:val="20"/>
          <w:color w:val="auto"/>
        </w:rPr>
      </w:pPr>
      <w:r>
        <w:rPr>
          <w:rFonts w:ascii="Times New Roman" w:cs="Times New Roman" w:eastAsia="Times New Roman" w:hAnsi="Times New Roman"/>
          <w:sz w:val="11"/>
          <w:szCs w:val="11"/>
          <w:b w:val="1"/>
          <w:bCs w:val="1"/>
          <w:color w:val="auto"/>
        </w:rPr>
        <w:t>Telephone: (847) 949-5500</w:t>
      </w:r>
    </w:p>
    <w:p>
      <w:pPr>
        <w:ind w:left="3580"/>
        <w:spacing w:after="0"/>
        <w:rPr>
          <w:sz w:val="20"/>
          <w:szCs w:val="20"/>
          <w:color w:val="auto"/>
        </w:rPr>
      </w:pPr>
      <w:r>
        <w:rPr>
          <w:rFonts w:ascii="Times New Roman" w:cs="Times New Roman" w:eastAsia="Times New Roman" w:hAnsi="Times New Roman"/>
          <w:sz w:val="10"/>
          <w:szCs w:val="10"/>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3019425</wp:posOffset>
            </wp:positionH>
            <wp:positionV relativeFrom="paragraph">
              <wp:posOffset>93980</wp:posOffset>
            </wp:positionV>
            <wp:extent cx="112903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29030" cy="6350"/>
                    </a:xfrm>
                    <a:prstGeom prst="rect">
                      <a:avLst/>
                    </a:prstGeom>
                    <a:noFill/>
                  </pic:spPr>
                </pic:pic>
              </a:graphicData>
            </a:graphic>
          </wp:anchor>
        </w:drawing>
      </w:r>
    </w:p>
    <w:p>
      <w:pPr>
        <w:spacing w:after="0" w:line="172" w:lineRule="exact"/>
        <w:rPr>
          <w:sz w:val="24"/>
          <w:szCs w:val="24"/>
          <w:color w:val="auto"/>
        </w:rPr>
      </w:pPr>
    </w:p>
    <w:tbl>
      <w:tblPr>
        <w:tblLayout w:type="fixed"/>
        <w:tblInd w:w="2040" w:type="dxa"/>
        <w:tblCellMar>
          <w:top w:w="0" w:type="dxa"/>
          <w:left w:w="0" w:type="dxa"/>
          <w:bottom w:w="0" w:type="dxa"/>
          <w:right w:w="0" w:type="dxa"/>
        </w:tblCellMar>
      </w:tblPr>
      <w:tr>
        <w:trPr>
          <w:trHeight w:val="145"/>
        </w:trPr>
        <w:tc>
          <w:tcPr>
            <w:tcW w:w="2340" w:type="dxa"/>
            <w:vAlign w:val="bottom"/>
          </w:tcPr>
          <w:p>
            <w:pPr>
              <w:spacing w:after="0"/>
              <w:rPr>
                <w:sz w:val="12"/>
                <w:szCs w:val="12"/>
                <w:color w:val="auto"/>
              </w:rPr>
            </w:pPr>
          </w:p>
        </w:tc>
        <w:tc>
          <w:tcPr>
            <w:tcW w:w="2760" w:type="dxa"/>
            <w:vAlign w:val="bottom"/>
          </w:tcPr>
          <w:p>
            <w:pPr>
              <w:ind w:left="1040"/>
              <w:spacing w:after="0"/>
              <w:rPr>
                <w:sz w:val="20"/>
                <w:szCs w:val="20"/>
                <w:color w:val="auto"/>
              </w:rPr>
            </w:pPr>
            <w:r>
              <w:rPr>
                <w:rFonts w:ascii="Times New Roman" w:cs="Times New Roman" w:eastAsia="Times New Roman" w:hAnsi="Times New Roman"/>
                <w:sz w:val="11"/>
                <w:szCs w:val="11"/>
                <w:b w:val="1"/>
                <w:bCs w:val="1"/>
                <w:i w:val="1"/>
                <w:iCs w:val="1"/>
                <w:color w:val="auto"/>
              </w:rPr>
              <w:t>Copies to:</w:t>
            </w:r>
          </w:p>
        </w:tc>
        <w:tc>
          <w:tcPr>
            <w:tcW w:w="2000" w:type="dxa"/>
            <w:vAlign w:val="bottom"/>
          </w:tcPr>
          <w:p>
            <w:pPr>
              <w:spacing w:after="0"/>
              <w:rPr>
                <w:sz w:val="12"/>
                <w:szCs w:val="12"/>
                <w:color w:val="auto"/>
              </w:rPr>
            </w:pPr>
          </w:p>
        </w:tc>
      </w:tr>
      <w:tr>
        <w:trPr>
          <w:trHeight w:val="146"/>
        </w:trPr>
        <w:tc>
          <w:tcPr>
            <w:tcW w:w="2340" w:type="dxa"/>
            <w:vAlign w:val="bottom"/>
          </w:tcPr>
          <w:p>
            <w:pPr>
              <w:jc w:val="center"/>
              <w:ind w:right="685"/>
              <w:spacing w:after="0"/>
              <w:rPr>
                <w:sz w:val="20"/>
                <w:szCs w:val="20"/>
                <w:color w:val="auto"/>
              </w:rPr>
            </w:pPr>
            <w:r>
              <w:rPr>
                <w:rFonts w:ascii="Times New Roman" w:cs="Times New Roman" w:eastAsia="Times New Roman" w:hAnsi="Times New Roman"/>
                <w:sz w:val="11"/>
                <w:szCs w:val="11"/>
                <w:b w:val="1"/>
                <w:bCs w:val="1"/>
                <w:color w:val="auto"/>
              </w:rPr>
              <w:t>Joshua Ford Bonnie</w:t>
            </w:r>
          </w:p>
        </w:tc>
        <w:tc>
          <w:tcPr>
            <w:tcW w:w="2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Alex Liberman</w:t>
            </w:r>
          </w:p>
        </w:tc>
        <w:tc>
          <w:tcPr>
            <w:tcW w:w="2000" w:type="dxa"/>
            <w:vAlign w:val="bottom"/>
          </w:tcPr>
          <w:p>
            <w:pPr>
              <w:jc w:val="center"/>
              <w:ind w:left="725"/>
              <w:spacing w:after="0"/>
              <w:rPr>
                <w:sz w:val="20"/>
                <w:szCs w:val="20"/>
                <w:color w:val="auto"/>
              </w:rPr>
            </w:pPr>
            <w:r>
              <w:rPr>
                <w:rFonts w:ascii="Times New Roman" w:cs="Times New Roman" w:eastAsia="Times New Roman" w:hAnsi="Times New Roman"/>
                <w:sz w:val="11"/>
                <w:szCs w:val="11"/>
                <w:b w:val="1"/>
                <w:bCs w:val="1"/>
                <w:color w:val="auto"/>
                <w:w w:val="99"/>
              </w:rPr>
              <w:t>Jason M. Licht</w:t>
            </w:r>
          </w:p>
        </w:tc>
      </w:tr>
      <w:tr>
        <w:trPr>
          <w:trHeight w:val="114"/>
        </w:trPr>
        <w:tc>
          <w:tcPr>
            <w:tcW w:w="2340" w:type="dxa"/>
            <w:vAlign w:val="bottom"/>
          </w:tcPr>
          <w:p>
            <w:pPr>
              <w:jc w:val="center"/>
              <w:ind w:right="665"/>
              <w:spacing w:after="0" w:line="115" w:lineRule="exact"/>
              <w:rPr>
                <w:sz w:val="20"/>
                <w:szCs w:val="20"/>
                <w:color w:val="auto"/>
              </w:rPr>
            </w:pPr>
            <w:r>
              <w:rPr>
                <w:rFonts w:ascii="Times New Roman" w:cs="Times New Roman" w:eastAsia="Times New Roman" w:hAnsi="Times New Roman"/>
                <w:sz w:val="11"/>
                <w:szCs w:val="11"/>
                <w:b w:val="1"/>
                <w:bCs w:val="1"/>
                <w:color w:val="auto"/>
              </w:rPr>
              <w:t>Jonathan R. Ozner</w:t>
            </w:r>
          </w:p>
        </w:tc>
        <w:tc>
          <w:tcPr>
            <w:tcW w:w="276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Chief Legal Officer</w:t>
            </w:r>
          </w:p>
        </w:tc>
        <w:tc>
          <w:tcPr>
            <w:tcW w:w="2000" w:type="dxa"/>
            <w:vAlign w:val="bottom"/>
          </w:tcPr>
          <w:p>
            <w:pPr>
              <w:jc w:val="center"/>
              <w:ind w:left="725"/>
              <w:spacing w:after="0" w:line="115" w:lineRule="exact"/>
              <w:rPr>
                <w:sz w:val="20"/>
                <w:szCs w:val="20"/>
                <w:color w:val="auto"/>
              </w:rPr>
            </w:pPr>
            <w:r>
              <w:rPr>
                <w:rFonts w:ascii="Times New Roman" w:cs="Times New Roman" w:eastAsia="Times New Roman" w:hAnsi="Times New Roman"/>
                <w:sz w:val="11"/>
                <w:szCs w:val="11"/>
                <w:b w:val="1"/>
                <w:bCs w:val="1"/>
                <w:color w:val="auto"/>
              </w:rPr>
              <w:t>Patrick H. Shannon</w:t>
            </w:r>
          </w:p>
        </w:tc>
      </w:tr>
      <w:tr>
        <w:trPr>
          <w:trHeight w:val="114"/>
        </w:trPr>
        <w:tc>
          <w:tcPr>
            <w:tcW w:w="2340" w:type="dxa"/>
            <w:vAlign w:val="bottom"/>
          </w:tcPr>
          <w:p>
            <w:pPr>
              <w:jc w:val="center"/>
              <w:ind w:right="685"/>
              <w:spacing w:after="0" w:line="115" w:lineRule="exact"/>
              <w:rPr>
                <w:sz w:val="20"/>
                <w:szCs w:val="20"/>
                <w:color w:val="auto"/>
              </w:rPr>
            </w:pPr>
            <w:r>
              <w:rPr>
                <w:rFonts w:ascii="Times New Roman" w:cs="Times New Roman" w:eastAsia="Times New Roman" w:hAnsi="Times New Roman"/>
                <w:sz w:val="11"/>
                <w:szCs w:val="11"/>
                <w:b w:val="1"/>
                <w:bCs w:val="1"/>
                <w:color w:val="auto"/>
              </w:rPr>
              <w:t>Katharine L. Thompson</w:t>
            </w:r>
          </w:p>
        </w:tc>
        <w:tc>
          <w:tcPr>
            <w:tcW w:w="276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Medline Inc.</w:t>
            </w:r>
          </w:p>
        </w:tc>
        <w:tc>
          <w:tcPr>
            <w:tcW w:w="2000" w:type="dxa"/>
            <w:vAlign w:val="bottom"/>
          </w:tcPr>
          <w:p>
            <w:pPr>
              <w:jc w:val="center"/>
              <w:ind w:left="725"/>
              <w:spacing w:after="0" w:line="115" w:lineRule="exact"/>
              <w:rPr>
                <w:sz w:val="20"/>
                <w:szCs w:val="20"/>
                <w:color w:val="auto"/>
              </w:rPr>
            </w:pPr>
            <w:r>
              <w:rPr>
                <w:rFonts w:ascii="Times New Roman" w:cs="Times New Roman" w:eastAsia="Times New Roman" w:hAnsi="Times New Roman"/>
                <w:sz w:val="11"/>
                <w:szCs w:val="11"/>
                <w:b w:val="1"/>
                <w:bCs w:val="1"/>
                <w:color w:val="auto"/>
              </w:rPr>
              <w:t>Cathy A. Birkeland</w:t>
            </w:r>
          </w:p>
        </w:tc>
      </w:tr>
      <w:tr>
        <w:trPr>
          <w:trHeight w:val="114"/>
        </w:trPr>
        <w:tc>
          <w:tcPr>
            <w:tcW w:w="2340" w:type="dxa"/>
            <w:vAlign w:val="bottom"/>
          </w:tcPr>
          <w:p>
            <w:pPr>
              <w:jc w:val="center"/>
              <w:ind w:right="685"/>
              <w:spacing w:after="0" w:line="115" w:lineRule="exact"/>
              <w:rPr>
                <w:sz w:val="20"/>
                <w:szCs w:val="20"/>
                <w:color w:val="auto"/>
              </w:rPr>
            </w:pPr>
            <w:r>
              <w:rPr>
                <w:rFonts w:ascii="Times New Roman" w:cs="Times New Roman" w:eastAsia="Times New Roman" w:hAnsi="Times New Roman"/>
                <w:sz w:val="11"/>
                <w:szCs w:val="11"/>
                <w:b w:val="1"/>
                <w:bCs w:val="1"/>
                <w:color w:val="auto"/>
              </w:rPr>
              <w:t>Simpson Thacher &amp; Bartlett LLP</w:t>
            </w:r>
          </w:p>
        </w:tc>
        <w:tc>
          <w:tcPr>
            <w:tcW w:w="2760" w:type="dxa"/>
            <w:vAlign w:val="bottom"/>
          </w:tcPr>
          <w:p>
            <w:pPr>
              <w:jc w:val="center"/>
              <w:ind w:right="5"/>
              <w:spacing w:after="0" w:line="115" w:lineRule="exact"/>
              <w:rPr>
                <w:sz w:val="20"/>
                <w:szCs w:val="20"/>
                <w:color w:val="auto"/>
              </w:rPr>
            </w:pPr>
            <w:r>
              <w:rPr>
                <w:rFonts w:ascii="Times New Roman" w:cs="Times New Roman" w:eastAsia="Times New Roman" w:hAnsi="Times New Roman"/>
                <w:sz w:val="11"/>
                <w:szCs w:val="11"/>
                <w:b w:val="1"/>
                <w:bCs w:val="1"/>
                <w:color w:val="auto"/>
              </w:rPr>
              <w:t>3 Lakes Drive</w:t>
            </w:r>
          </w:p>
        </w:tc>
        <w:tc>
          <w:tcPr>
            <w:tcW w:w="2000" w:type="dxa"/>
            <w:vAlign w:val="bottom"/>
          </w:tcPr>
          <w:p>
            <w:pPr>
              <w:jc w:val="center"/>
              <w:ind w:left="705"/>
              <w:spacing w:after="0" w:line="115" w:lineRule="exact"/>
              <w:rPr>
                <w:sz w:val="20"/>
                <w:szCs w:val="20"/>
                <w:color w:val="auto"/>
              </w:rPr>
            </w:pPr>
            <w:r>
              <w:rPr>
                <w:rFonts w:ascii="Times New Roman" w:cs="Times New Roman" w:eastAsia="Times New Roman" w:hAnsi="Times New Roman"/>
                <w:sz w:val="11"/>
                <w:szCs w:val="11"/>
                <w:b w:val="1"/>
                <w:bCs w:val="1"/>
                <w:color w:val="auto"/>
              </w:rPr>
              <w:t>Latham &amp; Watkins LLP</w:t>
            </w:r>
          </w:p>
        </w:tc>
      </w:tr>
      <w:tr>
        <w:trPr>
          <w:trHeight w:val="114"/>
        </w:trPr>
        <w:tc>
          <w:tcPr>
            <w:tcW w:w="2340" w:type="dxa"/>
            <w:vAlign w:val="bottom"/>
          </w:tcPr>
          <w:p>
            <w:pPr>
              <w:jc w:val="center"/>
              <w:ind w:right="685"/>
              <w:spacing w:after="0" w:line="115" w:lineRule="exact"/>
              <w:rPr>
                <w:sz w:val="20"/>
                <w:szCs w:val="20"/>
                <w:color w:val="auto"/>
              </w:rPr>
            </w:pPr>
            <w:r>
              <w:rPr>
                <w:rFonts w:ascii="Times New Roman" w:cs="Times New Roman" w:eastAsia="Times New Roman" w:hAnsi="Times New Roman"/>
                <w:sz w:val="11"/>
                <w:szCs w:val="11"/>
                <w:b w:val="1"/>
                <w:bCs w:val="1"/>
                <w:color w:val="auto"/>
                <w:w w:val="99"/>
              </w:rPr>
              <w:t>900 G Street, N.W.</w:t>
            </w:r>
          </w:p>
        </w:tc>
        <w:tc>
          <w:tcPr>
            <w:tcW w:w="2760" w:type="dxa"/>
            <w:vAlign w:val="bottom"/>
          </w:tcPr>
          <w:p>
            <w:pPr>
              <w:jc w:val="center"/>
              <w:ind w:right="5"/>
              <w:spacing w:after="0" w:line="115" w:lineRule="exact"/>
              <w:rPr>
                <w:sz w:val="20"/>
                <w:szCs w:val="20"/>
                <w:color w:val="auto"/>
              </w:rPr>
            </w:pPr>
            <w:r>
              <w:rPr>
                <w:rFonts w:ascii="Times New Roman" w:cs="Times New Roman" w:eastAsia="Times New Roman" w:hAnsi="Times New Roman"/>
                <w:sz w:val="11"/>
                <w:szCs w:val="11"/>
                <w:b w:val="1"/>
                <w:bCs w:val="1"/>
                <w:color w:val="auto"/>
              </w:rPr>
              <w:t>Northfield, Illinois 60093</w:t>
            </w:r>
          </w:p>
        </w:tc>
        <w:tc>
          <w:tcPr>
            <w:tcW w:w="2000" w:type="dxa"/>
            <w:vAlign w:val="bottom"/>
          </w:tcPr>
          <w:p>
            <w:pPr>
              <w:jc w:val="center"/>
              <w:ind w:left="725"/>
              <w:spacing w:after="0" w:line="115" w:lineRule="exact"/>
              <w:rPr>
                <w:sz w:val="20"/>
                <w:szCs w:val="20"/>
                <w:color w:val="auto"/>
              </w:rPr>
            </w:pPr>
            <w:r>
              <w:rPr>
                <w:rFonts w:ascii="Times New Roman" w:cs="Times New Roman" w:eastAsia="Times New Roman" w:hAnsi="Times New Roman"/>
                <w:sz w:val="11"/>
                <w:szCs w:val="11"/>
                <w:b w:val="1"/>
                <w:bCs w:val="1"/>
                <w:color w:val="auto"/>
              </w:rPr>
              <w:t>555 Eleventh Street, N.W.</w:t>
            </w:r>
          </w:p>
        </w:tc>
      </w:tr>
      <w:tr>
        <w:trPr>
          <w:trHeight w:val="114"/>
        </w:trPr>
        <w:tc>
          <w:tcPr>
            <w:tcW w:w="2340" w:type="dxa"/>
            <w:vAlign w:val="bottom"/>
          </w:tcPr>
          <w:p>
            <w:pPr>
              <w:jc w:val="center"/>
              <w:ind w:right="665"/>
              <w:spacing w:after="0" w:line="115" w:lineRule="exact"/>
              <w:rPr>
                <w:sz w:val="20"/>
                <w:szCs w:val="20"/>
                <w:color w:val="auto"/>
              </w:rPr>
            </w:pPr>
            <w:r>
              <w:rPr>
                <w:rFonts w:ascii="Times New Roman" w:cs="Times New Roman" w:eastAsia="Times New Roman" w:hAnsi="Times New Roman"/>
                <w:sz w:val="11"/>
                <w:szCs w:val="11"/>
                <w:b w:val="1"/>
                <w:bCs w:val="1"/>
                <w:color w:val="auto"/>
                <w:w w:val="99"/>
              </w:rPr>
              <w:t>Washington, D.C. 20001</w:t>
            </w:r>
          </w:p>
        </w:tc>
        <w:tc>
          <w:tcPr>
            <w:tcW w:w="276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9"/>
              </w:rPr>
              <w:t>Telephone: (847) 949-5500</w:t>
            </w:r>
          </w:p>
        </w:tc>
        <w:tc>
          <w:tcPr>
            <w:tcW w:w="2000" w:type="dxa"/>
            <w:vAlign w:val="bottom"/>
          </w:tcPr>
          <w:p>
            <w:pPr>
              <w:jc w:val="center"/>
              <w:ind w:left="725"/>
              <w:spacing w:after="0" w:line="115" w:lineRule="exact"/>
              <w:rPr>
                <w:sz w:val="20"/>
                <w:szCs w:val="20"/>
                <w:color w:val="auto"/>
              </w:rPr>
            </w:pPr>
            <w:r>
              <w:rPr>
                <w:rFonts w:ascii="Times New Roman" w:cs="Times New Roman" w:eastAsia="Times New Roman" w:hAnsi="Times New Roman"/>
                <w:sz w:val="11"/>
                <w:szCs w:val="11"/>
                <w:b w:val="1"/>
                <w:bCs w:val="1"/>
                <w:color w:val="auto"/>
                <w:w w:val="99"/>
              </w:rPr>
              <w:t>Washington, D.C. 20004</w:t>
            </w:r>
          </w:p>
        </w:tc>
      </w:tr>
      <w:tr>
        <w:trPr>
          <w:trHeight w:val="145"/>
        </w:trPr>
        <w:tc>
          <w:tcPr>
            <w:tcW w:w="2340" w:type="dxa"/>
            <w:vAlign w:val="bottom"/>
          </w:tcPr>
          <w:p>
            <w:pPr>
              <w:jc w:val="center"/>
              <w:ind w:right="685"/>
              <w:spacing w:after="0"/>
              <w:rPr>
                <w:sz w:val="20"/>
                <w:szCs w:val="20"/>
                <w:color w:val="auto"/>
              </w:rPr>
            </w:pPr>
            <w:r>
              <w:rPr>
                <w:rFonts w:ascii="Times New Roman" w:cs="Times New Roman" w:eastAsia="Times New Roman" w:hAnsi="Times New Roman"/>
                <w:sz w:val="11"/>
                <w:szCs w:val="11"/>
                <w:b w:val="1"/>
                <w:bCs w:val="1"/>
                <w:color w:val="auto"/>
                <w:w w:val="99"/>
              </w:rPr>
              <w:t>Telephone: (202) 636-5500</w:t>
            </w:r>
          </w:p>
        </w:tc>
        <w:tc>
          <w:tcPr>
            <w:tcW w:w="2760" w:type="dxa"/>
            <w:vAlign w:val="bottom"/>
          </w:tcPr>
          <w:p>
            <w:pPr>
              <w:spacing w:after="0"/>
              <w:rPr>
                <w:sz w:val="12"/>
                <w:szCs w:val="12"/>
                <w:color w:val="auto"/>
              </w:rPr>
            </w:pPr>
          </w:p>
        </w:tc>
        <w:tc>
          <w:tcPr>
            <w:tcW w:w="2000" w:type="dxa"/>
            <w:vAlign w:val="bottom"/>
          </w:tcPr>
          <w:p>
            <w:pPr>
              <w:jc w:val="center"/>
              <w:ind w:left="705"/>
              <w:spacing w:after="0"/>
              <w:rPr>
                <w:sz w:val="20"/>
                <w:szCs w:val="20"/>
                <w:color w:val="auto"/>
              </w:rPr>
            </w:pPr>
            <w:r>
              <w:rPr>
                <w:rFonts w:ascii="Times New Roman" w:cs="Times New Roman" w:eastAsia="Times New Roman" w:hAnsi="Times New Roman"/>
                <w:sz w:val="11"/>
                <w:szCs w:val="11"/>
                <w:b w:val="1"/>
                <w:bCs w:val="1"/>
                <w:color w:val="auto"/>
                <w:w w:val="99"/>
              </w:rPr>
              <w:t>Telephone: (202) 637-2200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3019425</wp:posOffset>
            </wp:positionH>
            <wp:positionV relativeFrom="paragraph">
              <wp:posOffset>92075</wp:posOffset>
            </wp:positionV>
            <wp:extent cx="112903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29030" cy="6350"/>
                    </a:xfrm>
                    <a:prstGeom prst="rect">
                      <a:avLst/>
                    </a:prstGeom>
                    <a:noFill/>
                  </pic:spPr>
                </pic:pic>
              </a:graphicData>
            </a:graphic>
          </wp:anchor>
        </w:drawing>
      </w:r>
    </w:p>
    <w:p>
      <w:pPr>
        <w:spacing w:after="0" w:line="178"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1"/>
          <w:szCs w:val="11"/>
          <w:b w:val="1"/>
          <w:bCs w:val="1"/>
          <w:color w:val="auto"/>
        </w:rPr>
        <w:t xml:space="preserve">Approximate date of commencement of the proposed sale of the securities to the public: </w:t>
      </w:r>
      <w:r>
        <w:rPr>
          <w:rFonts w:ascii="Times New Roman" w:cs="Times New Roman" w:eastAsia="Times New Roman" w:hAnsi="Times New Roman"/>
          <w:sz w:val="11"/>
          <w:szCs w:val="11"/>
          <w:color w:val="auto"/>
        </w:rPr>
        <w:t>As soon as practicable after the Registration Statement is declared effective.</w:t>
      </w:r>
    </w:p>
    <w:p>
      <w:pPr>
        <w:spacing w:after="0" w:line="42" w:lineRule="exact"/>
        <w:rPr>
          <w:sz w:val="24"/>
          <w:szCs w:val="24"/>
          <w:color w:val="auto"/>
        </w:rPr>
      </w:pPr>
    </w:p>
    <w:p>
      <w:pPr>
        <w:ind w:left="1400" w:right="539" w:firstLine="339"/>
        <w:spacing w:after="0" w:line="143" w:lineRule="exact"/>
        <w:rPr>
          <w:sz w:val="20"/>
          <w:szCs w:val="20"/>
          <w:color w:val="auto"/>
        </w:rPr>
      </w:pPr>
      <w:r>
        <w:rPr>
          <w:rFonts w:ascii="Times New Roman" w:cs="Times New Roman" w:eastAsia="Times New Roman" w:hAnsi="Times New Roman"/>
          <w:sz w:val="11"/>
          <w:szCs w:val="11"/>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1"/>
          <w:szCs w:val="11"/>
          <w:color w:val="auto"/>
        </w:rPr>
        <w:t>☐</w:t>
      </w:r>
    </w:p>
    <w:p>
      <w:pPr>
        <w:spacing w:after="0" w:line="17" w:lineRule="exact"/>
        <w:rPr>
          <w:sz w:val="24"/>
          <w:szCs w:val="24"/>
          <w:color w:val="auto"/>
        </w:rPr>
      </w:pPr>
    </w:p>
    <w:p>
      <w:pPr>
        <w:ind w:left="1400" w:right="739" w:firstLine="339"/>
        <w:spacing w:after="0" w:line="143" w:lineRule="exact"/>
        <w:rPr>
          <w:sz w:val="20"/>
          <w:szCs w:val="20"/>
          <w:color w:val="auto"/>
        </w:rPr>
      </w:pPr>
      <w:r>
        <w:rPr>
          <w:rFonts w:ascii="Times New Roman" w:cs="Times New Roman" w:eastAsia="Times New Roman" w:hAnsi="Times New Roman"/>
          <w:sz w:val="11"/>
          <w:szCs w:val="11"/>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27" w:lineRule="exact"/>
        <w:rPr>
          <w:sz w:val="24"/>
          <w:szCs w:val="24"/>
          <w:color w:val="auto"/>
        </w:rPr>
      </w:pPr>
    </w:p>
    <w:p>
      <w:pPr>
        <w:ind w:left="1400" w:right="379" w:firstLine="339"/>
        <w:spacing w:after="0" w:line="143" w:lineRule="exact"/>
        <w:rPr>
          <w:sz w:val="20"/>
          <w:szCs w:val="20"/>
          <w:color w:val="auto"/>
        </w:rPr>
      </w:pPr>
      <w:r>
        <w:rPr>
          <w:rFonts w:ascii="Times New Roman" w:cs="Times New Roman" w:eastAsia="Times New Roman" w:hAnsi="Times New Roman"/>
          <w:sz w:val="11"/>
          <w:szCs w:val="11"/>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17" w:lineRule="exact"/>
        <w:rPr>
          <w:sz w:val="24"/>
          <w:szCs w:val="24"/>
          <w:color w:val="auto"/>
        </w:rPr>
      </w:pPr>
    </w:p>
    <w:p>
      <w:pPr>
        <w:ind w:left="1400" w:right="379" w:firstLine="339"/>
        <w:spacing w:after="0" w:line="143" w:lineRule="exact"/>
        <w:rPr>
          <w:sz w:val="20"/>
          <w:szCs w:val="20"/>
          <w:color w:val="auto"/>
        </w:rPr>
      </w:pPr>
      <w:r>
        <w:rPr>
          <w:rFonts w:ascii="Times New Roman" w:cs="Times New Roman" w:eastAsia="Times New Roman" w:hAnsi="Times New Roman"/>
          <w:sz w:val="11"/>
          <w:szCs w:val="11"/>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17" w:lineRule="exact"/>
        <w:rPr>
          <w:sz w:val="24"/>
          <w:szCs w:val="24"/>
          <w:color w:val="auto"/>
        </w:rPr>
      </w:pPr>
    </w:p>
    <w:p>
      <w:pPr>
        <w:ind w:left="1400" w:right="339" w:firstLine="339"/>
        <w:spacing w:after="0" w:line="247"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 w:lineRule="exact"/>
        <w:rPr>
          <w:sz w:val="24"/>
          <w:szCs w:val="24"/>
          <w:color w:val="auto"/>
        </w:rPr>
      </w:pPr>
    </w:p>
    <w:tbl>
      <w:tblPr>
        <w:tblLayout w:type="fixed"/>
        <w:tblInd w:w="1400" w:type="dxa"/>
        <w:tblCellMar>
          <w:top w:w="0" w:type="dxa"/>
          <w:left w:w="0" w:type="dxa"/>
          <w:bottom w:w="0" w:type="dxa"/>
          <w:right w:w="0" w:type="dxa"/>
        </w:tblCellMar>
      </w:tblPr>
      <w:tr>
        <w:trPr>
          <w:trHeight w:val="185"/>
        </w:trPr>
        <w:tc>
          <w:tcPr>
            <w:tcW w:w="122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2880" w:type="dxa"/>
            <w:vAlign w:val="bottom"/>
          </w:tcPr>
          <w:p>
            <w:pPr>
              <w:ind w:left="240"/>
              <w:spacing w:after="0" w:line="111" w:lineRule="exact"/>
              <w:rPr>
                <w:sz w:val="20"/>
                <w:szCs w:val="20"/>
                <w:color w:val="auto"/>
              </w:rPr>
            </w:pPr>
            <w:r>
              <w:rPr>
                <w:rFonts w:ascii="MS PGothic" w:cs="MS PGothic" w:eastAsia="MS PGothic" w:hAnsi="MS PGothic"/>
                <w:sz w:val="11"/>
                <w:szCs w:val="11"/>
                <w:color w:val="auto"/>
              </w:rPr>
              <w:t>☐</w:t>
            </w:r>
          </w:p>
        </w:tc>
        <w:tc>
          <w:tcPr>
            <w:tcW w:w="3980" w:type="dxa"/>
            <w:vAlign w:val="bottom"/>
          </w:tcPr>
          <w:p>
            <w:pPr>
              <w:ind w:left="2520"/>
              <w:spacing w:after="0"/>
              <w:rPr>
                <w:sz w:val="20"/>
                <w:szCs w:val="20"/>
                <w:color w:val="auto"/>
              </w:rPr>
            </w:pPr>
            <w:r>
              <w:rPr>
                <w:rFonts w:ascii="Times New Roman" w:cs="Times New Roman" w:eastAsia="Times New Roman" w:hAnsi="Times New Roman"/>
                <w:sz w:val="11"/>
                <w:szCs w:val="11"/>
                <w:color w:val="auto"/>
              </w:rPr>
              <w:t>Accelerated filer</w:t>
            </w:r>
          </w:p>
        </w:tc>
        <w:tc>
          <w:tcPr>
            <w:tcW w:w="340" w:type="dxa"/>
            <w:vAlign w:val="bottom"/>
          </w:tcPr>
          <w:p>
            <w:pPr>
              <w:ind w:left="2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18"/>
        </w:trPr>
        <w:tc>
          <w:tcPr>
            <w:tcW w:w="122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2880" w:type="dxa"/>
            <w:vAlign w:val="bottom"/>
          </w:tcPr>
          <w:p>
            <w:pPr>
              <w:ind w:left="240"/>
              <w:spacing w:after="0" w:line="111" w:lineRule="exact"/>
              <w:rPr>
                <w:sz w:val="20"/>
                <w:szCs w:val="20"/>
                <w:color w:val="auto"/>
              </w:rPr>
            </w:pPr>
            <w:r>
              <w:rPr>
                <w:rFonts w:ascii="MS PGothic" w:cs="MS PGothic" w:eastAsia="MS PGothic" w:hAnsi="MS PGothic"/>
                <w:sz w:val="11"/>
                <w:szCs w:val="11"/>
                <w:color w:val="auto"/>
              </w:rPr>
              <w:t>☒</w:t>
            </w:r>
          </w:p>
        </w:tc>
        <w:tc>
          <w:tcPr>
            <w:tcW w:w="3980" w:type="dxa"/>
            <w:vAlign w:val="bottom"/>
          </w:tcPr>
          <w:p>
            <w:pPr>
              <w:ind w:left="252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340" w:type="dxa"/>
            <w:vAlign w:val="bottom"/>
          </w:tcPr>
          <w:p>
            <w:pPr>
              <w:ind w:left="2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18"/>
        </w:trPr>
        <w:tc>
          <w:tcPr>
            <w:tcW w:w="12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980" w:type="dxa"/>
            <w:vAlign w:val="bottom"/>
          </w:tcPr>
          <w:p>
            <w:pPr>
              <w:ind w:left="2520"/>
              <w:spacing w:after="0"/>
              <w:rPr>
                <w:sz w:val="20"/>
                <w:szCs w:val="20"/>
                <w:color w:val="auto"/>
              </w:rPr>
            </w:pPr>
            <w:r>
              <w:rPr>
                <w:rFonts w:ascii="Times New Roman" w:cs="Times New Roman" w:eastAsia="Times New Roman" w:hAnsi="Times New Roman"/>
                <w:sz w:val="11"/>
                <w:szCs w:val="11"/>
                <w:color w:val="auto"/>
              </w:rPr>
              <w:t>Emerging growth company</w:t>
            </w:r>
          </w:p>
        </w:tc>
        <w:tc>
          <w:tcPr>
            <w:tcW w:w="340" w:type="dxa"/>
            <w:vAlign w:val="bottom"/>
          </w:tcPr>
          <w:p>
            <w:pPr>
              <w:ind w:left="24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16" w:lineRule="exact"/>
        <w:rPr>
          <w:sz w:val="24"/>
          <w:szCs w:val="24"/>
          <w:color w:val="auto"/>
        </w:rPr>
      </w:pPr>
    </w:p>
    <w:p>
      <w:pPr>
        <w:ind w:left="1400" w:right="719" w:firstLine="339"/>
        <w:spacing w:after="0" w:line="143"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3019425</wp:posOffset>
            </wp:positionH>
            <wp:positionV relativeFrom="paragraph">
              <wp:posOffset>87630</wp:posOffset>
            </wp:positionV>
            <wp:extent cx="112903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29030" cy="6350"/>
                    </a:xfrm>
                    <a:prstGeom prst="rect">
                      <a:avLst/>
                    </a:prstGeom>
                    <a:noFill/>
                  </pic:spPr>
                </pic:pic>
              </a:graphicData>
            </a:graphic>
          </wp:anchor>
        </w:drawing>
      </w:r>
    </w:p>
    <w:p>
      <w:pPr>
        <w:spacing w:after="0" w:line="161" w:lineRule="exact"/>
        <w:rPr>
          <w:sz w:val="24"/>
          <w:szCs w:val="24"/>
          <w:color w:val="auto"/>
        </w:rPr>
      </w:pPr>
    </w:p>
    <w:p>
      <w:pPr>
        <w:ind w:left="1400" w:right="319" w:firstLine="339"/>
        <w:spacing w:after="0" w:line="236" w:lineRule="auto"/>
        <w:rPr>
          <w:sz w:val="20"/>
          <w:szCs w:val="20"/>
          <w:color w:val="auto"/>
        </w:rPr>
      </w:pPr>
      <w:r>
        <w:rPr>
          <w:rFonts w:ascii="Times New Roman" w:cs="Times New Roman" w:eastAsia="Times New Roman" w:hAnsi="Times New Roman"/>
          <w:sz w:val="11"/>
          <w:szCs w:val="11"/>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893445</wp:posOffset>
            </wp:positionH>
            <wp:positionV relativeFrom="paragraph">
              <wp:posOffset>39370</wp:posOffset>
            </wp:positionV>
            <wp:extent cx="5387975"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87975" cy="6350"/>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72390</wp:posOffset>
            </wp:positionV>
            <wp:extent cx="5387975"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87975" cy="6350"/>
                    </a:xfrm>
                    <a:prstGeom prst="rect">
                      <a:avLst/>
                    </a:prstGeom>
                    <a:noFill/>
                  </pic:spPr>
                </pic:pic>
              </a:graphicData>
            </a:graphic>
          </wp:anchor>
        </w:drawing>
      </w:r>
    </w:p>
    <w:p>
      <w:pPr>
        <w:sectPr>
          <w:pgSz w:w="11900" w:h="16838" w:orient="portrait"/>
          <w:cols w:equalWidth="0" w:num="1">
            <w:col w:w="10159"/>
          </w:cols>
          <w:pgMar w:left="300" w:top="20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10" w:lineRule="exact"/>
        <w:rPr>
          <w:sz w:val="20"/>
          <w:szCs w:val="20"/>
          <w:color w:val="auto"/>
        </w:rPr>
      </w:pPr>
    </w:p>
    <w:tbl>
      <w:tblPr>
        <w:tblLayout w:type="fixed"/>
        <w:tblInd w:w="1420" w:type="dxa"/>
        <w:tblCellMar>
          <w:top w:w="0" w:type="dxa"/>
          <w:left w:w="0" w:type="dxa"/>
          <w:bottom w:w="0" w:type="dxa"/>
          <w:right w:w="0" w:type="dxa"/>
        </w:tblCellMar>
      </w:tblPr>
      <w:tr>
        <w:trPr>
          <w:trHeight w:val="1650"/>
        </w:trPr>
        <w:tc>
          <w:tcPr>
            <w:tcW w:w="100" w:type="dxa"/>
            <w:vAlign w:val="bottom"/>
            <w:textDirection w:val="btLr"/>
          </w:tcPr>
          <w:p>
            <w:pPr>
              <w:spacing w:after="0"/>
              <w:rPr>
                <w:sz w:val="20"/>
                <w:szCs w:val="20"/>
                <w:color w:val="auto"/>
              </w:rPr>
            </w:pPr>
            <w:r>
              <w:rPr>
                <w:rFonts w:ascii="Arial" w:cs="Arial" w:eastAsia="Arial" w:hAnsi="Arial"/>
                <w:sz w:val="11"/>
                <w:szCs w:val="11"/>
                <w:b w:val="1"/>
                <w:bCs w:val="1"/>
                <w:color w:val="FF4338"/>
              </w:rPr>
              <w:t>until the registration statement</w:t>
            </w:r>
          </w:p>
        </w:tc>
        <w:tc>
          <w:tcPr>
            <w:tcW w:w="240" w:type="dxa"/>
            <w:vAlign w:val="bottom"/>
            <w:textDirection w:val="btLr"/>
          </w:tcPr>
          <w:p>
            <w:pPr>
              <w:ind w:left="29"/>
              <w:spacing w:after="0"/>
              <w:rPr>
                <w:sz w:val="20"/>
                <w:szCs w:val="20"/>
                <w:color w:val="auto"/>
              </w:rPr>
            </w:pPr>
            <w:r>
              <w:rPr>
                <w:rFonts w:ascii="Arial" w:cs="Arial" w:eastAsia="Arial" w:hAnsi="Arial"/>
                <w:sz w:val="11"/>
                <w:szCs w:val="11"/>
                <w:b w:val="1"/>
                <w:bCs w:val="1"/>
                <w:color w:val="FF4338"/>
              </w:rPr>
              <w:t>not soliciting an offer to buy</w:t>
            </w:r>
          </w:p>
        </w:tc>
      </w:tr>
      <w:tr>
        <w:trPr>
          <w:trHeight w:val="1533"/>
        </w:trPr>
        <w:tc>
          <w:tcPr>
            <w:tcW w:w="100" w:type="dxa"/>
            <w:vAlign w:val="bottom"/>
            <w:textDirection w:val="btLr"/>
          </w:tcPr>
          <w:p>
            <w:pPr>
              <w:spacing w:after="0"/>
              <w:rPr>
                <w:sz w:val="20"/>
                <w:szCs w:val="20"/>
                <w:color w:val="auto"/>
              </w:rPr>
            </w:pPr>
            <w:r>
              <w:rPr>
                <w:rFonts w:ascii="Arial" w:cs="Arial" w:eastAsia="Arial" w:hAnsi="Arial"/>
                <w:sz w:val="11"/>
                <w:szCs w:val="11"/>
                <w:b w:val="1"/>
                <w:bCs w:val="1"/>
                <w:color w:val="FF4338"/>
              </w:rPr>
              <w:t>may not sell these securities</w:t>
            </w:r>
          </w:p>
        </w:tc>
        <w:tc>
          <w:tcPr>
            <w:tcW w:w="240" w:type="dxa"/>
            <w:vAlign w:val="bottom"/>
            <w:textDirection w:val="btLr"/>
          </w:tcPr>
          <w:p>
            <w:pPr>
              <w:ind w:left="29"/>
              <w:spacing w:after="0"/>
              <w:rPr>
                <w:sz w:val="20"/>
                <w:szCs w:val="20"/>
                <w:color w:val="auto"/>
              </w:rPr>
            </w:pPr>
            <w:r>
              <w:rPr>
                <w:rFonts w:ascii="Arial" w:cs="Arial" w:eastAsia="Arial" w:hAnsi="Arial"/>
                <w:sz w:val="11"/>
                <w:szCs w:val="11"/>
                <w:b w:val="1"/>
                <w:bCs w:val="1"/>
                <w:color w:val="FF4338"/>
              </w:rPr>
              <w:t>sell these securities and it is</w:t>
            </w:r>
          </w:p>
        </w:tc>
      </w:tr>
      <w:tr>
        <w:trPr>
          <w:trHeight w:val="5794"/>
        </w:trPr>
        <w:tc>
          <w:tcPr>
            <w:tcW w:w="100" w:type="dxa"/>
            <w:vAlign w:val="bottom"/>
            <w:textDirection w:val="btLr"/>
          </w:tcPr>
          <w:p>
            <w:pPr>
              <w:spacing w:after="0"/>
              <w:rPr>
                <w:sz w:val="20"/>
                <w:szCs w:val="20"/>
                <w:color w:val="auto"/>
              </w:rPr>
            </w:pPr>
            <w:r>
              <w:rPr>
                <w:rFonts w:ascii="Arial" w:cs="Arial" w:eastAsia="Arial" w:hAnsi="Arial"/>
                <w:sz w:val="11"/>
                <w:szCs w:val="11"/>
                <w:b w:val="1"/>
                <w:bCs w:val="1"/>
                <w:color w:val="FF4338"/>
              </w:rPr>
              <w:t>The information in this preliminary prospectus is not complete and may be changed. The selling stockholders</w:t>
            </w:r>
          </w:p>
        </w:tc>
        <w:tc>
          <w:tcPr>
            <w:tcW w:w="240" w:type="dxa"/>
            <w:vAlign w:val="bottom"/>
            <w:textDirection w:val="btLr"/>
          </w:tcPr>
          <w:p>
            <w:pPr>
              <w:ind w:left="137"/>
              <w:spacing w:after="0"/>
              <w:rPr>
                <w:sz w:val="20"/>
                <w:szCs w:val="20"/>
                <w:color w:val="auto"/>
              </w:rPr>
            </w:pPr>
            <w:r>
              <w:rPr>
                <w:rFonts w:ascii="Arial" w:cs="Arial" w:eastAsia="Arial" w:hAnsi="Arial"/>
                <w:sz w:val="9"/>
                <w:szCs w:val="9"/>
                <w:b w:val="1"/>
                <w:bCs w:val="1"/>
                <w:color w:val="FF4338"/>
                <w:w w:val="76"/>
              </w:rPr>
              <w:t>filed with the Securities and Exchange Commission is effective. This preliminary prospectus is not an offer tothesesecuritiesinanyjurisdictionwheretheofferorsaleisnotpermitted.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0"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4"/>
          <w:szCs w:val="14"/>
          <w:b w:val="1"/>
          <w:bCs w:val="1"/>
          <w:color w:val="FF4338"/>
        </w:rPr>
        <w:t>SUBJECT TO COMPLETION, DATED MAY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-1318260</wp:posOffset>
            </wp:positionH>
            <wp:positionV relativeFrom="paragraph">
              <wp:posOffset>-586105</wp:posOffset>
            </wp:positionV>
            <wp:extent cx="7202170" cy="323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2170" cy="32385"/>
                    </a:xfrm>
                    <a:prstGeom prst="rect">
                      <a:avLst/>
                    </a:prstGeom>
                    <a:noFill/>
                  </pic:spPr>
                </pic:pic>
              </a:graphicData>
            </a:graphic>
          </wp:anchor>
        </w:drawing>
      </w:r>
    </w:p>
    <w:p>
      <w:pPr>
        <w:spacing w:after="0" w:line="3"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4"/>
          <w:szCs w:val="14"/>
          <w:b w:val="1"/>
          <w:bCs w:val="1"/>
          <w:color w:val="FF4338"/>
        </w:rPr>
        <w:t>PRELIMINARY PROSPECTUS</w:t>
      </w:r>
    </w:p>
    <w:p>
      <w:pPr>
        <w:spacing w:after="0" w:line="13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5"/>
          <w:szCs w:val="25"/>
          <w:b w:val="1"/>
          <w:bCs w:val="1"/>
          <w:color w:val="auto"/>
        </w:rPr>
        <w:t>60,000,000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2080895</wp:posOffset>
            </wp:positionH>
            <wp:positionV relativeFrom="paragraph">
              <wp:posOffset>137160</wp:posOffset>
            </wp:positionV>
            <wp:extent cx="389255" cy="389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9255" cy="389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33"/>
          <w:szCs w:val="33"/>
          <w:b w:val="1"/>
          <w:bCs w:val="1"/>
          <w:color w:val="auto"/>
        </w:rPr>
        <w:t>Medline Inc.</w:t>
      </w:r>
    </w:p>
    <w:p>
      <w:pPr>
        <w:spacing w:after="0" w:line="188"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9"/>
          <w:szCs w:val="19"/>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1797050</wp:posOffset>
            </wp:positionH>
            <wp:positionV relativeFrom="paragraph">
              <wp:posOffset>198755</wp:posOffset>
            </wp:positionV>
            <wp:extent cx="957580"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57580" cy="635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right="979" w:firstLine="286"/>
        <w:spacing w:after="0" w:line="318" w:lineRule="auto"/>
        <w:rPr>
          <w:sz w:val="20"/>
          <w:szCs w:val="20"/>
          <w:color w:val="auto"/>
        </w:rPr>
      </w:pPr>
      <w:r>
        <w:rPr>
          <w:rFonts w:ascii="Times New Roman" w:cs="Times New Roman" w:eastAsia="Times New Roman" w:hAnsi="Times New Roman"/>
          <w:sz w:val="13"/>
          <w:szCs w:val="13"/>
          <w:color w:val="auto"/>
        </w:rPr>
        <w:t>The selling stockholders named in this prospectus are offering 60,000,000 shares of our Class A common stock. Our shares of Class A common stock are listed on the Nasdaq Global Select Market (“Nasdaq”) under the trading symbol “MDLN.”</w:t>
      </w:r>
    </w:p>
    <w:p>
      <w:pPr>
        <w:spacing w:after="0" w:line="103" w:lineRule="exact"/>
        <w:rPr>
          <w:sz w:val="20"/>
          <w:szCs w:val="20"/>
          <w:color w:val="auto"/>
        </w:rPr>
      </w:pPr>
    </w:p>
    <w:p>
      <w:pPr>
        <w:ind w:right="1059" w:firstLine="286"/>
        <w:spacing w:after="0" w:line="255" w:lineRule="auto"/>
        <w:rPr>
          <w:sz w:val="20"/>
          <w:szCs w:val="20"/>
          <w:color w:val="auto"/>
        </w:rPr>
      </w:pPr>
      <w:r>
        <w:rPr>
          <w:rFonts w:ascii="Times New Roman" w:cs="Times New Roman" w:eastAsia="Times New Roman" w:hAnsi="Times New Roman"/>
          <w:sz w:val="14"/>
          <w:szCs w:val="14"/>
          <w:color w:val="auto"/>
        </w:rPr>
        <w:t>On May 19, 2026, the closing sales price of our shares of Class A common stock as reported on Nasdaq was $37.70 per share. We will not receive any proceeds from the sale of shares of our Class A common stock by the selling stockholders. Prior to the consummation of this offering, certain of the selling stockholders will exchange Common Units (as defined herein) for shares of our Class A common stock to be sold by them in the offering. See “Principal and Selling Stockholders” and “Organizational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1797050</wp:posOffset>
            </wp:positionH>
            <wp:positionV relativeFrom="paragraph">
              <wp:posOffset>166370</wp:posOffset>
            </wp:positionV>
            <wp:extent cx="957580"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57580" cy="635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right="1179" w:firstLine="286"/>
        <w:spacing w:after="0" w:line="281" w:lineRule="auto"/>
        <w:rPr>
          <w:sz w:val="20"/>
          <w:szCs w:val="20"/>
          <w:color w:val="auto"/>
        </w:rPr>
      </w:pPr>
      <w:r>
        <w:rPr>
          <w:rFonts w:ascii="Times New Roman" w:cs="Times New Roman" w:eastAsia="Times New Roman" w:hAnsi="Times New Roman"/>
          <w:sz w:val="14"/>
          <w:szCs w:val="14"/>
          <w:b w:val="1"/>
          <w:bCs w:val="1"/>
          <w:color w:val="auto"/>
        </w:rPr>
        <w:t>Investing in shares of our Class A common stock involves risks. See “</w:t>
      </w:r>
      <w:r>
        <w:rPr>
          <w:rFonts w:ascii="Times New Roman" w:cs="Times New Roman" w:eastAsia="Times New Roman" w:hAnsi="Times New Roman"/>
          <w:sz w:val="14"/>
          <w:szCs w:val="14"/>
          <w:b w:val="1"/>
          <w:bCs w:val="1"/>
          <w:u w:val="single" w:color="auto"/>
          <w:color w:val="0000EE"/>
        </w:rPr>
        <w:t>Risk Factors</w:t>
      </w:r>
      <w:r>
        <w:rPr>
          <w:rFonts w:ascii="Times New Roman" w:cs="Times New Roman" w:eastAsia="Times New Roman" w:hAnsi="Times New Roman"/>
          <w:sz w:val="14"/>
          <w:szCs w:val="14"/>
          <w:b w:val="1"/>
          <w:bCs w:val="1"/>
          <w:color w:val="auto"/>
        </w:rPr>
        <w:t>” beginning on page 29 to read about factors you should consider before buying shares of the Class A common stock.</w:t>
      </w:r>
    </w:p>
    <w:p>
      <w:pPr>
        <w:spacing w:after="0" w:line="122" w:lineRule="exact"/>
        <w:rPr>
          <w:sz w:val="20"/>
          <w:szCs w:val="20"/>
          <w:color w:val="auto"/>
        </w:rPr>
      </w:pPr>
    </w:p>
    <w:p>
      <w:pPr>
        <w:ind w:right="1159" w:firstLine="286"/>
        <w:spacing w:after="0" w:line="264"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153" w:lineRule="exact"/>
        <w:rPr>
          <w:sz w:val="20"/>
          <w:szCs w:val="20"/>
          <w:color w:val="auto"/>
        </w:rPr>
      </w:pPr>
    </w:p>
    <w:tbl>
      <w:tblPr>
        <w:tblLayout w:type="fixed"/>
        <w:tblInd w:w="880" w:type="dxa"/>
        <w:tblCellMar>
          <w:top w:w="0" w:type="dxa"/>
          <w:left w:w="0" w:type="dxa"/>
          <w:bottom w:w="0" w:type="dxa"/>
          <w:right w:w="0" w:type="dxa"/>
        </w:tblCellMar>
      </w:tblPr>
      <w:tr>
        <w:trPr>
          <w:trHeight w:val="134"/>
        </w:trPr>
        <w:tc>
          <w:tcPr>
            <w:tcW w:w="3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Per Share</w:t>
            </w:r>
          </w:p>
        </w:tc>
        <w:tc>
          <w:tcPr>
            <w:tcW w:w="360" w:type="dxa"/>
            <w:vAlign w:val="bottom"/>
          </w:tcPr>
          <w:p>
            <w:pPr>
              <w:spacing w:after="0"/>
              <w:rPr>
                <w:sz w:val="11"/>
                <w:szCs w:val="11"/>
                <w:color w:val="auto"/>
              </w:rPr>
            </w:pPr>
          </w:p>
        </w:tc>
        <w:tc>
          <w:tcPr>
            <w:tcW w:w="56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57"/>
        </w:trPr>
        <w:tc>
          <w:tcPr>
            <w:tcW w:w="346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Public offering price</w:t>
            </w:r>
          </w:p>
        </w:tc>
        <w:tc>
          <w:tcPr>
            <w:tcW w:w="50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 xml:space="preserve">$       </w:t>
            </w:r>
          </w:p>
        </w:tc>
        <w:tc>
          <w:tcPr>
            <w:tcW w:w="36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 xml:space="preserve">$       </w:t>
            </w:r>
          </w:p>
        </w:tc>
        <w:tc>
          <w:tcPr>
            <w:tcW w:w="40" w:type="dxa"/>
            <w:vAlign w:val="bottom"/>
            <w:tcBorders>
              <w:top w:val="single" w:sz="8" w:color="CCEEFF"/>
            </w:tcBorders>
            <w:shd w:val="clear" w:color="auto" w:fill="CCEEFF"/>
          </w:tcPr>
          <w:p>
            <w:pPr>
              <w:spacing w:after="0"/>
              <w:rPr>
                <w:sz w:val="13"/>
                <w:szCs w:val="13"/>
                <w:color w:val="auto"/>
              </w:rPr>
            </w:pPr>
          </w:p>
        </w:tc>
      </w:tr>
      <w:tr>
        <w:trPr>
          <w:trHeight w:val="166"/>
        </w:trPr>
        <w:tc>
          <w:tcPr>
            <w:tcW w:w="3460" w:type="dxa"/>
            <w:vAlign w:val="bottom"/>
          </w:tcPr>
          <w:p>
            <w:pPr>
              <w:spacing w:after="0" w:line="166" w:lineRule="exact"/>
              <w:rPr>
                <w:sz w:val="20"/>
                <w:szCs w:val="20"/>
                <w:color w:val="auto"/>
              </w:rPr>
            </w:pPr>
            <w:r>
              <w:rPr>
                <w:rFonts w:ascii="Times New Roman" w:cs="Times New Roman" w:eastAsia="Times New Roman" w:hAnsi="Times New Roman"/>
                <w:sz w:val="13"/>
                <w:szCs w:val="13"/>
                <w:color w:val="auto"/>
              </w:rPr>
              <w:t>Underwriting discounts and commissions</w:t>
            </w:r>
            <w:r>
              <w:rPr>
                <w:rFonts w:ascii="Times New Roman" w:cs="Times New Roman" w:eastAsia="Times New Roman" w:hAnsi="Times New Roman"/>
                <w:sz w:val="19"/>
                <w:szCs w:val="19"/>
                <w:color w:val="auto"/>
                <w:vertAlign w:val="superscript"/>
              </w:rPr>
              <w:t>(1)</w:t>
            </w: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r>
      <w:tr>
        <w:trPr>
          <w:trHeight w:val="16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before expenses, to the selling stockholders</w:t>
            </w:r>
          </w:p>
        </w:tc>
        <w:tc>
          <w:tcPr>
            <w:tcW w:w="10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495300"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5300" cy="6350"/>
                    </a:xfrm>
                    <a:prstGeom prst="rect">
                      <a:avLst/>
                    </a:prstGeom>
                    <a:noFill/>
                  </pic:spPr>
                </pic:pic>
              </a:graphicData>
            </a:graphic>
          </wp:anchor>
        </w:drawing>
      </w:r>
    </w:p>
    <w:p>
      <w:pPr>
        <w:spacing w:after="0" w:line="108" w:lineRule="exact"/>
        <w:rPr>
          <w:sz w:val="20"/>
          <w:szCs w:val="20"/>
          <w:color w:val="auto"/>
        </w:rPr>
      </w:pPr>
    </w:p>
    <w:p>
      <w:pPr>
        <w:ind w:left="280" w:hanging="273"/>
        <w:spacing w:after="0"/>
        <w:tabs>
          <w:tab w:leader="none" w:pos="280" w:val="left"/>
        </w:tabs>
        <w:numPr>
          <w:ilvl w:val="0"/>
          <w:numId w:val="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Please see the section entitled “Underwriting (Conflicts of Interest)” for a description of compensation payable to the underwriters.</w:t>
      </w:r>
    </w:p>
    <w:p>
      <w:pPr>
        <w:spacing w:after="0" w:line="157" w:lineRule="exact"/>
        <w:rPr>
          <w:sz w:val="20"/>
          <w:szCs w:val="20"/>
          <w:color w:val="auto"/>
        </w:rPr>
      </w:pPr>
    </w:p>
    <w:p>
      <w:pPr>
        <w:jc w:val="both"/>
        <w:ind w:right="1099" w:firstLine="286"/>
        <w:spacing w:after="0" w:line="263" w:lineRule="auto"/>
        <w:rPr>
          <w:sz w:val="20"/>
          <w:szCs w:val="20"/>
          <w:color w:val="auto"/>
        </w:rPr>
      </w:pPr>
      <w:r>
        <w:rPr>
          <w:rFonts w:ascii="Times New Roman" w:cs="Times New Roman" w:eastAsia="Times New Roman" w:hAnsi="Times New Roman"/>
          <w:sz w:val="14"/>
          <w:szCs w:val="14"/>
          <w:color w:val="auto"/>
        </w:rPr>
        <w:t>To the extent that the underwriters sell more than 60,000,000 shares of our Class A common stock, the underwriters have the option to purchase up to an additional 9,000,000 shares of our Class A common stock from the selling stockholders at the public offering price less the underwriting discounts and commissions within 30 days from the date of this prospectus.</w:t>
      </w:r>
    </w:p>
    <w:p>
      <w:pPr>
        <w:spacing w:after="0" w:line="136" w:lineRule="exact"/>
        <w:rPr>
          <w:sz w:val="20"/>
          <w:szCs w:val="20"/>
          <w:color w:val="auto"/>
        </w:rPr>
      </w:pPr>
    </w:p>
    <w:p>
      <w:pPr>
        <w:ind w:right="999" w:firstLine="286"/>
        <w:spacing w:after="0" w:line="278" w:lineRule="auto"/>
        <w:rPr>
          <w:sz w:val="20"/>
          <w:szCs w:val="20"/>
          <w:color w:val="auto"/>
        </w:rPr>
      </w:pPr>
      <w:r>
        <w:rPr>
          <w:rFonts w:ascii="Times New Roman" w:cs="Times New Roman" w:eastAsia="Times New Roman" w:hAnsi="Times New Roman"/>
          <w:sz w:val="14"/>
          <w:szCs w:val="14"/>
          <w:color w:val="auto"/>
        </w:rPr>
        <w:t>The underwriters expect to deliver the shares of our Class A common stock against payment in New York, New York on or about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1797050</wp:posOffset>
            </wp:positionH>
            <wp:positionV relativeFrom="paragraph">
              <wp:posOffset>161925</wp:posOffset>
            </wp:positionV>
            <wp:extent cx="957580"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57580" cy="635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4"/>
          <w:szCs w:val="14"/>
          <w:b w:val="1"/>
          <w:bCs w:val="1"/>
          <w:i w:val="1"/>
          <w:iCs w:val="1"/>
          <w:color w:val="auto"/>
        </w:rPr>
        <w:t>Global Coordinators and Joint Bookrunning Managers</w:t>
      </w:r>
    </w:p>
    <w:p>
      <w:pPr>
        <w:spacing w:after="0" w:line="81" w:lineRule="exact"/>
        <w:rPr>
          <w:sz w:val="20"/>
          <w:szCs w:val="20"/>
          <w:color w:val="auto"/>
        </w:rPr>
      </w:pPr>
    </w:p>
    <w:p>
      <w:pPr>
        <w:ind w:left="820"/>
        <w:spacing w:after="0"/>
        <w:tabs>
          <w:tab w:leader="none" w:pos="4820" w:val="left"/>
        </w:tabs>
        <w:rPr>
          <w:sz w:val="20"/>
          <w:szCs w:val="20"/>
          <w:color w:val="auto"/>
        </w:rPr>
      </w:pPr>
      <w:r>
        <w:rPr>
          <w:rFonts w:ascii="Times New Roman" w:cs="Times New Roman" w:eastAsia="Times New Roman" w:hAnsi="Times New Roman"/>
          <w:sz w:val="17"/>
          <w:szCs w:val="17"/>
          <w:b w:val="1"/>
          <w:bCs w:val="1"/>
          <w:color w:val="auto"/>
        </w:rPr>
        <w:t>Goldman Sachs &amp; Co. LLC</w:t>
      </w:r>
      <w:r>
        <w:rPr>
          <w:sz w:val="20"/>
          <w:szCs w:val="20"/>
          <w:color w:val="auto"/>
        </w:rPr>
        <w:tab/>
      </w:r>
      <w:r>
        <w:rPr>
          <w:rFonts w:ascii="Times New Roman" w:cs="Times New Roman" w:eastAsia="Times New Roman" w:hAnsi="Times New Roman"/>
          <w:sz w:val="16"/>
          <w:szCs w:val="16"/>
          <w:b w:val="1"/>
          <w:bCs w:val="1"/>
          <w:color w:val="auto"/>
        </w:rPr>
        <w:t>Morgan Stanley</w:t>
      </w:r>
    </w:p>
    <w:p>
      <w:pPr>
        <w:spacing w:after="0" w:line="14" w:lineRule="exact"/>
        <w:rPr>
          <w:sz w:val="20"/>
          <w:szCs w:val="20"/>
          <w:color w:val="auto"/>
        </w:rPr>
      </w:pPr>
    </w:p>
    <w:p>
      <w:pPr>
        <w:ind w:left="1240"/>
        <w:spacing w:after="0"/>
        <w:tabs>
          <w:tab w:leader="none" w:pos="4960" w:val="left"/>
        </w:tabs>
        <w:rPr>
          <w:sz w:val="20"/>
          <w:szCs w:val="20"/>
          <w:color w:val="auto"/>
        </w:rPr>
      </w:pPr>
      <w:r>
        <w:rPr>
          <w:rFonts w:ascii="Times New Roman" w:cs="Times New Roman" w:eastAsia="Times New Roman" w:hAnsi="Times New Roman"/>
          <w:sz w:val="17"/>
          <w:szCs w:val="17"/>
          <w:b w:val="1"/>
          <w:bCs w:val="1"/>
          <w:color w:val="auto"/>
        </w:rPr>
        <w:t>BofA Securities</w:t>
      </w:r>
      <w:r>
        <w:rPr>
          <w:sz w:val="20"/>
          <w:szCs w:val="20"/>
          <w:color w:val="auto"/>
        </w:rPr>
        <w:tab/>
      </w:r>
      <w:r>
        <w:rPr>
          <w:rFonts w:ascii="Times New Roman" w:cs="Times New Roman" w:eastAsia="Times New Roman" w:hAnsi="Times New Roman"/>
          <w:sz w:val="16"/>
          <w:szCs w:val="16"/>
          <w:b w:val="1"/>
          <w:bCs w:val="1"/>
          <w:color w:val="auto"/>
        </w:rPr>
        <w:t>J.P. Morgan</w:t>
      </w:r>
    </w:p>
    <w:p>
      <w:pPr>
        <w:spacing w:after="0" w:line="61"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4"/>
          <w:szCs w:val="14"/>
          <w:b w:val="1"/>
          <w:bCs w:val="1"/>
          <w:i w:val="1"/>
          <w:iCs w:val="1"/>
          <w:color w:val="auto"/>
        </w:rPr>
        <w:t>Co-Manager</w:t>
      </w:r>
    </w:p>
    <w:p>
      <w:pPr>
        <w:spacing w:after="0" w:line="89"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4"/>
          <w:szCs w:val="14"/>
          <w:b w:val="1"/>
          <w:bCs w:val="1"/>
          <w:color w:val="auto"/>
        </w:rPr>
        <w:t>Blackstone Capital Markets</w:t>
      </w:r>
    </w:p>
    <w:p>
      <w:pPr>
        <w:spacing w:after="0" w:line="172"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4"/>
          <w:szCs w:val="14"/>
          <w:b w:val="1"/>
          <w:bCs w:val="1"/>
          <w:color w:val="auto"/>
        </w:rPr>
        <w:t>The date of this prospectus is             , 2026.</w:t>
      </w:r>
    </w:p>
    <w:p>
      <w:pPr>
        <w:sectPr>
          <w:pgSz w:w="11900" w:h="16838" w:orient="portrait"/>
          <w:cols w:equalWidth="0" w:num="2">
            <w:col w:w="1760" w:space="300"/>
            <w:col w:w="8099"/>
          </w:cols>
          <w:pgMar w:left="300" w:top="383"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tbl>
      <w:tblPr>
        <w:tblLayout w:type="fixed"/>
        <w:tblInd w:w="1400" w:type="dxa"/>
        <w:tblCellMar>
          <w:top w:w="0" w:type="dxa"/>
          <w:left w:w="0" w:type="dxa"/>
          <w:bottom w:w="0" w:type="dxa"/>
          <w:right w:w="0" w:type="dxa"/>
        </w:tblCellMar>
      </w:tblPr>
      <w:tr>
        <w:trPr>
          <w:trHeight w:val="183"/>
        </w:trPr>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920" w:type="dxa"/>
            <w:vAlign w:val="bottom"/>
            <w:gridSpan w:val="2"/>
          </w:tcPr>
          <w:p>
            <w:pPr>
              <w:ind w:left="114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1"/>
        </w:trPr>
        <w:tc>
          <w:tcPr>
            <w:tcW w:w="6500" w:type="dxa"/>
            <w:vAlign w:val="bottom"/>
            <w:gridSpan w:val="15"/>
            <w:vMerge w:val="restart"/>
          </w:tcPr>
          <w:p>
            <w:pPr>
              <w:spacing w:after="0"/>
              <w:rPr>
                <w:sz w:val="20"/>
                <w:szCs w:val="20"/>
                <w:color w:val="auto"/>
              </w:rPr>
            </w:pPr>
            <w:r>
              <w:rPr>
                <w:rFonts w:ascii="Times New Roman" w:cs="Times New Roman" w:eastAsia="Times New Roman" w:hAnsi="Times New Roman"/>
                <w:sz w:val="14"/>
                <w:szCs w:val="14"/>
                <w:color w:val="0000EE"/>
              </w:rPr>
              <w:t>Summary</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115"/>
        </w:trPr>
        <w:tc>
          <w:tcPr>
            <w:tcW w:w="6500" w:type="dxa"/>
            <w:vAlign w:val="bottom"/>
            <w:gridSpan w:val="15"/>
            <w:vMerge w:val="continue"/>
          </w:tcPr>
          <w:p>
            <w:pPr>
              <w:spacing w:after="0"/>
              <w:rPr>
                <w:sz w:val="10"/>
                <w:szCs w:val="10"/>
                <w:color w:val="auto"/>
              </w:rPr>
            </w:pPr>
          </w:p>
        </w:tc>
        <w:tc>
          <w:tcPr>
            <w:tcW w:w="1720" w:type="dxa"/>
            <w:vAlign w:val="bottom"/>
          </w:tcPr>
          <w:p>
            <w:pPr>
              <w:spacing w:after="0"/>
              <w:rPr>
                <w:sz w:val="10"/>
                <w:szCs w:val="10"/>
                <w:color w:val="auto"/>
              </w:rPr>
            </w:pPr>
          </w:p>
        </w:tc>
        <w:tc>
          <w:tcPr>
            <w:tcW w:w="220" w:type="dxa"/>
            <w:vAlign w:val="bottom"/>
            <w:tcBorders>
              <w:top w:val="single" w:sz="8" w:color="auto"/>
            </w:tcBorders>
          </w:tcPr>
          <w:p>
            <w:pPr>
              <w:jc w:val="right"/>
              <w:spacing w:after="0" w:line="105" w:lineRule="exact"/>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00" w:type="dxa"/>
            <w:vAlign w:val="bottom"/>
            <w:tcBorders>
              <w:bottom w:val="single" w:sz="8" w:color="0000EE"/>
            </w:tcBorders>
            <w:gridSpan w:val="3"/>
          </w:tcPr>
          <w:p>
            <w:pPr>
              <w:spacing w:after="0" w:line="157" w:lineRule="exact"/>
              <w:rPr>
                <w:sz w:val="20"/>
                <w:szCs w:val="20"/>
                <w:color w:val="auto"/>
              </w:rPr>
            </w:pPr>
            <w:r>
              <w:rPr>
                <w:rFonts w:ascii="Times New Roman" w:cs="Times New Roman" w:eastAsia="Times New Roman" w:hAnsi="Times New Roman"/>
                <w:sz w:val="14"/>
                <w:szCs w:val="14"/>
                <w:color w:val="0000EE"/>
                <w:w w:val="96"/>
              </w:rPr>
              <w:t>Risk Factors</w:t>
            </w:r>
          </w:p>
        </w:tc>
        <w:tc>
          <w:tcPr>
            <w:tcW w:w="5800" w:type="dxa"/>
            <w:vAlign w:val="bottom"/>
            <w:gridSpan w:val="12"/>
          </w:tcPr>
          <w:p>
            <w:pPr>
              <w:spacing w:after="0"/>
              <w:rPr>
                <w:sz w:val="13"/>
                <w:szCs w:val="13"/>
                <w:color w:val="auto"/>
              </w:rPr>
            </w:pPr>
          </w:p>
        </w:tc>
        <w:tc>
          <w:tcPr>
            <w:tcW w:w="194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46"/>
        </w:trPr>
        <w:tc>
          <w:tcPr>
            <w:tcW w:w="6500" w:type="dxa"/>
            <w:vAlign w:val="bottom"/>
            <w:gridSpan w:val="15"/>
          </w:tcPr>
          <w:p>
            <w:pPr>
              <w:spacing w:after="0" w:line="147" w:lineRule="exact"/>
              <w:rPr>
                <w:sz w:val="20"/>
                <w:szCs w:val="20"/>
                <w:color w:val="auto"/>
              </w:rPr>
            </w:pPr>
            <w:r>
              <w:rPr>
                <w:rFonts w:ascii="Times New Roman" w:cs="Times New Roman" w:eastAsia="Times New Roman" w:hAnsi="Times New Roman"/>
                <w:sz w:val="14"/>
                <w:szCs w:val="14"/>
                <w:color w:val="0000EE"/>
              </w:rPr>
              <w:t>Forward-Looking Statements</w:t>
            </w:r>
          </w:p>
        </w:tc>
        <w:tc>
          <w:tcPr>
            <w:tcW w:w="194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46"/>
        </w:trPr>
        <w:tc>
          <w:tcPr>
            <w:tcW w:w="1620" w:type="dxa"/>
            <w:vAlign w:val="bottom"/>
            <w:tcBorders>
              <w:top w:val="single" w:sz="8" w:color="0000EE"/>
            </w:tcBorders>
            <w:gridSpan w:val="8"/>
          </w:tcPr>
          <w:p>
            <w:pPr>
              <w:spacing w:after="0" w:line="147" w:lineRule="exact"/>
              <w:rPr>
                <w:sz w:val="20"/>
                <w:szCs w:val="20"/>
                <w:color w:val="auto"/>
              </w:rPr>
            </w:pPr>
            <w:r>
              <w:rPr>
                <w:rFonts w:ascii="Times New Roman" w:cs="Times New Roman" w:eastAsia="Times New Roman" w:hAnsi="Times New Roman"/>
                <w:sz w:val="14"/>
                <w:szCs w:val="14"/>
                <w:color w:val="0000EE"/>
              </w:rPr>
              <w:t>Market and Industry Data</w:t>
            </w:r>
          </w:p>
        </w:tc>
        <w:tc>
          <w:tcPr>
            <w:tcW w:w="4880" w:type="dxa"/>
            <w:vAlign w:val="bottom"/>
            <w:gridSpan w:val="7"/>
          </w:tcPr>
          <w:p>
            <w:pPr>
              <w:spacing w:after="0"/>
              <w:rPr>
                <w:sz w:val="12"/>
                <w:szCs w:val="12"/>
                <w:color w:val="auto"/>
              </w:rPr>
            </w:pPr>
          </w:p>
        </w:tc>
        <w:tc>
          <w:tcPr>
            <w:tcW w:w="194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580" w:type="dxa"/>
            <w:vAlign w:val="bottom"/>
            <w:tcBorders>
              <w:bottom w:val="single" w:sz="8" w:color="0000EE"/>
            </w:tcBorders>
            <w:gridSpan w:val="13"/>
          </w:tcPr>
          <w:p>
            <w:pPr>
              <w:spacing w:after="0" w:line="147" w:lineRule="exact"/>
              <w:rPr>
                <w:sz w:val="20"/>
                <w:szCs w:val="20"/>
                <w:color w:val="auto"/>
              </w:rPr>
            </w:pPr>
            <w:r>
              <w:rPr>
                <w:rFonts w:ascii="Times New Roman" w:cs="Times New Roman" w:eastAsia="Times New Roman" w:hAnsi="Times New Roman"/>
                <w:sz w:val="14"/>
                <w:szCs w:val="14"/>
                <w:color w:val="0000EE"/>
                <w:w w:val="98"/>
              </w:rPr>
              <w:t>Trademarks, Trade Names, and Service Marks</w:t>
            </w:r>
          </w:p>
        </w:tc>
        <w:tc>
          <w:tcPr>
            <w:tcW w:w="3920" w:type="dxa"/>
            <w:vAlign w:val="bottom"/>
            <w:gridSpan w:val="2"/>
          </w:tcPr>
          <w:p>
            <w:pPr>
              <w:spacing w:after="0"/>
              <w:rPr>
                <w:sz w:val="12"/>
                <w:szCs w:val="12"/>
                <w:color w:val="auto"/>
              </w:rPr>
            </w:pPr>
          </w:p>
        </w:tc>
        <w:tc>
          <w:tcPr>
            <w:tcW w:w="194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46"/>
        </w:trPr>
        <w:tc>
          <w:tcPr>
            <w:tcW w:w="6500" w:type="dxa"/>
            <w:vAlign w:val="bottom"/>
            <w:gridSpan w:val="15"/>
          </w:tcPr>
          <w:p>
            <w:pPr>
              <w:spacing w:after="0" w:line="147" w:lineRule="exact"/>
              <w:rPr>
                <w:sz w:val="20"/>
                <w:szCs w:val="20"/>
                <w:color w:val="auto"/>
              </w:rPr>
            </w:pPr>
            <w:r>
              <w:rPr>
                <w:rFonts w:ascii="Times New Roman" w:cs="Times New Roman" w:eastAsia="Times New Roman" w:hAnsi="Times New Roman"/>
                <w:sz w:val="14"/>
                <w:szCs w:val="14"/>
                <w:color w:val="0000EE"/>
              </w:rPr>
              <w:t>Organizational Structure</w:t>
            </w:r>
          </w:p>
        </w:tc>
        <w:tc>
          <w:tcPr>
            <w:tcW w:w="194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46"/>
        </w:trPr>
        <w:tc>
          <w:tcPr>
            <w:tcW w:w="1420" w:type="dxa"/>
            <w:vAlign w:val="bottom"/>
            <w:tcBorders>
              <w:top w:val="single" w:sz="8" w:color="0000EE"/>
            </w:tcBorders>
            <w:gridSpan w:val="6"/>
          </w:tcPr>
          <w:p>
            <w:pPr>
              <w:spacing w:after="0" w:line="147" w:lineRule="exact"/>
              <w:rPr>
                <w:sz w:val="20"/>
                <w:szCs w:val="20"/>
                <w:color w:val="auto"/>
              </w:rPr>
            </w:pPr>
            <w:r>
              <w:rPr>
                <w:rFonts w:ascii="Times New Roman" w:cs="Times New Roman" w:eastAsia="Times New Roman" w:hAnsi="Times New Roman"/>
                <w:sz w:val="14"/>
                <w:szCs w:val="14"/>
                <w:color w:val="0000EE"/>
              </w:rPr>
              <w:t>Use of Proceeds</w:t>
            </w:r>
          </w:p>
        </w:tc>
        <w:tc>
          <w:tcPr>
            <w:tcW w:w="5080" w:type="dxa"/>
            <w:vAlign w:val="bottom"/>
            <w:gridSpan w:val="9"/>
          </w:tcPr>
          <w:p>
            <w:pPr>
              <w:spacing w:after="0"/>
              <w:rPr>
                <w:sz w:val="12"/>
                <w:szCs w:val="12"/>
                <w:color w:val="auto"/>
              </w:rPr>
            </w:pPr>
          </w:p>
        </w:tc>
        <w:tc>
          <w:tcPr>
            <w:tcW w:w="194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500" w:type="dxa"/>
            <w:vAlign w:val="bottom"/>
            <w:gridSpan w:val="15"/>
          </w:tcPr>
          <w:p>
            <w:pPr>
              <w:spacing w:after="0" w:line="147" w:lineRule="exact"/>
              <w:rPr>
                <w:sz w:val="20"/>
                <w:szCs w:val="20"/>
                <w:color w:val="auto"/>
              </w:rPr>
            </w:pPr>
            <w:r>
              <w:rPr>
                <w:rFonts w:ascii="Times New Roman" w:cs="Times New Roman" w:eastAsia="Times New Roman" w:hAnsi="Times New Roman"/>
                <w:sz w:val="14"/>
                <w:szCs w:val="14"/>
                <w:color w:val="0000EE"/>
              </w:rPr>
              <w:t>Dividend Policy</w:t>
            </w:r>
          </w:p>
        </w:tc>
        <w:tc>
          <w:tcPr>
            <w:tcW w:w="194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500" w:type="dxa"/>
            <w:vAlign w:val="bottom"/>
            <w:gridSpan w:val="15"/>
          </w:tcPr>
          <w:p>
            <w:pPr>
              <w:spacing w:after="0" w:line="147" w:lineRule="exact"/>
              <w:rPr>
                <w:sz w:val="20"/>
                <w:szCs w:val="20"/>
                <w:color w:val="auto"/>
              </w:rPr>
            </w:pPr>
            <w:r>
              <w:rPr>
                <w:rFonts w:ascii="Times New Roman" w:cs="Times New Roman" w:eastAsia="Times New Roman" w:hAnsi="Times New Roman"/>
                <w:sz w:val="14"/>
                <w:szCs w:val="14"/>
                <w:color w:val="0000EE"/>
              </w:rPr>
              <w:t>Principal and Selling Stockholders</w:t>
            </w:r>
          </w:p>
        </w:tc>
        <w:tc>
          <w:tcPr>
            <w:tcW w:w="194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46"/>
        </w:trPr>
        <w:tc>
          <w:tcPr>
            <w:tcW w:w="1920" w:type="dxa"/>
            <w:vAlign w:val="bottom"/>
            <w:tcBorders>
              <w:top w:val="single" w:sz="8" w:color="0000EE"/>
            </w:tcBorders>
            <w:gridSpan w:val="9"/>
          </w:tcPr>
          <w:p>
            <w:pPr>
              <w:spacing w:after="0" w:line="147" w:lineRule="exact"/>
              <w:rPr>
                <w:sz w:val="20"/>
                <w:szCs w:val="20"/>
                <w:color w:val="auto"/>
              </w:rPr>
            </w:pPr>
            <w:r>
              <w:rPr>
                <w:rFonts w:ascii="Times New Roman" w:cs="Times New Roman" w:eastAsia="Times New Roman" w:hAnsi="Times New Roman"/>
                <w:sz w:val="14"/>
                <w:szCs w:val="14"/>
                <w:color w:val="0000EE"/>
              </w:rPr>
              <w:t>Description of Capital Stock</w:t>
            </w:r>
          </w:p>
        </w:tc>
        <w:tc>
          <w:tcPr>
            <w:tcW w:w="4580" w:type="dxa"/>
            <w:vAlign w:val="bottom"/>
            <w:gridSpan w:val="6"/>
          </w:tcPr>
          <w:p>
            <w:pPr>
              <w:spacing w:after="0"/>
              <w:rPr>
                <w:sz w:val="12"/>
                <w:szCs w:val="12"/>
                <w:color w:val="auto"/>
              </w:rPr>
            </w:pPr>
          </w:p>
        </w:tc>
        <w:tc>
          <w:tcPr>
            <w:tcW w:w="194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500" w:type="dxa"/>
            <w:vAlign w:val="bottom"/>
            <w:gridSpan w:val="15"/>
          </w:tcPr>
          <w:p>
            <w:pPr>
              <w:spacing w:after="0" w:line="147" w:lineRule="exact"/>
              <w:rPr>
                <w:sz w:val="20"/>
                <w:szCs w:val="20"/>
                <w:color w:val="auto"/>
              </w:rPr>
            </w:pPr>
            <w:r>
              <w:rPr>
                <w:rFonts w:ascii="Times New Roman" w:cs="Times New Roman" w:eastAsia="Times New Roman" w:hAnsi="Times New Roman"/>
                <w:sz w:val="14"/>
                <w:szCs w:val="14"/>
                <w:color w:val="0000EE"/>
              </w:rPr>
              <w:t>Certain U.S. Federal Income Tax Consequences to Non-U.S. Holders</w:t>
            </w:r>
          </w:p>
        </w:tc>
        <w:tc>
          <w:tcPr>
            <w:tcW w:w="194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46"/>
        </w:trPr>
        <w:tc>
          <w:tcPr>
            <w:tcW w:w="3840" w:type="dxa"/>
            <w:vAlign w:val="bottom"/>
            <w:tcBorders>
              <w:top w:val="single" w:sz="8" w:color="0000EE"/>
            </w:tcBorders>
            <w:gridSpan w:val="14"/>
          </w:tcPr>
          <w:p>
            <w:pPr>
              <w:spacing w:after="0" w:line="147" w:lineRule="exact"/>
              <w:rPr>
                <w:sz w:val="20"/>
                <w:szCs w:val="20"/>
                <w:color w:val="auto"/>
              </w:rPr>
            </w:pPr>
            <w:r>
              <w:rPr>
                <w:rFonts w:ascii="Times New Roman" w:cs="Times New Roman" w:eastAsia="Times New Roman" w:hAnsi="Times New Roman"/>
                <w:sz w:val="14"/>
                <w:szCs w:val="14"/>
                <w:color w:val="0000EE"/>
              </w:rPr>
              <w:t>Underwriting (Conflicts of Interest)</w:t>
            </w:r>
          </w:p>
        </w:tc>
        <w:tc>
          <w:tcPr>
            <w:tcW w:w="2660" w:type="dxa"/>
            <w:vAlign w:val="bottom"/>
          </w:tcPr>
          <w:p>
            <w:pPr>
              <w:spacing w:after="0"/>
              <w:rPr>
                <w:sz w:val="12"/>
                <w:szCs w:val="12"/>
                <w:color w:val="auto"/>
              </w:rPr>
            </w:pPr>
          </w:p>
        </w:tc>
        <w:tc>
          <w:tcPr>
            <w:tcW w:w="194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146"/>
        </w:trPr>
        <w:tc>
          <w:tcPr>
            <w:tcW w:w="780" w:type="dxa"/>
            <w:vAlign w:val="bottom"/>
            <w:tcBorders>
              <w:top w:val="single" w:sz="8" w:color="0000EE"/>
              <w:bottom w:val="single" w:sz="8" w:color="0000EE"/>
            </w:tcBorders>
            <w:gridSpan w:val="4"/>
          </w:tcPr>
          <w:p>
            <w:pPr>
              <w:spacing w:after="0" w:line="147" w:lineRule="exact"/>
              <w:rPr>
                <w:sz w:val="20"/>
                <w:szCs w:val="20"/>
                <w:color w:val="auto"/>
              </w:rPr>
            </w:pPr>
            <w:r>
              <w:rPr>
                <w:rFonts w:ascii="Times New Roman" w:cs="Times New Roman" w:eastAsia="Times New Roman" w:hAnsi="Times New Roman"/>
                <w:sz w:val="14"/>
                <w:szCs w:val="14"/>
                <w:color w:val="0000EE"/>
                <w:w w:val="97"/>
              </w:rPr>
              <w:t>Legal Matters</w:t>
            </w:r>
          </w:p>
        </w:tc>
        <w:tc>
          <w:tcPr>
            <w:tcW w:w="1200" w:type="dxa"/>
            <w:vAlign w:val="bottom"/>
            <w:tcBorders>
              <w:top w:val="single" w:sz="8" w:color="0000EE"/>
            </w:tcBorders>
            <w:gridSpan w:val="6"/>
          </w:tcPr>
          <w:p>
            <w:pPr>
              <w:spacing w:after="0"/>
              <w:rPr>
                <w:sz w:val="12"/>
                <w:szCs w:val="12"/>
                <w:color w:val="auto"/>
              </w:rPr>
            </w:pPr>
          </w:p>
        </w:tc>
        <w:tc>
          <w:tcPr>
            <w:tcW w:w="4520" w:type="dxa"/>
            <w:vAlign w:val="bottom"/>
            <w:gridSpan w:val="5"/>
          </w:tcPr>
          <w:p>
            <w:pPr>
              <w:spacing w:after="0"/>
              <w:rPr>
                <w:sz w:val="12"/>
                <w:szCs w:val="12"/>
                <w:color w:val="auto"/>
              </w:rPr>
            </w:pPr>
          </w:p>
        </w:tc>
        <w:tc>
          <w:tcPr>
            <w:tcW w:w="194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46"/>
        </w:trPr>
        <w:tc>
          <w:tcPr>
            <w:tcW w:w="6500" w:type="dxa"/>
            <w:vAlign w:val="bottom"/>
            <w:gridSpan w:val="15"/>
          </w:tcPr>
          <w:p>
            <w:pPr>
              <w:spacing w:after="0" w:line="147" w:lineRule="exact"/>
              <w:rPr>
                <w:sz w:val="20"/>
                <w:szCs w:val="20"/>
                <w:color w:val="auto"/>
              </w:rPr>
            </w:pPr>
            <w:r>
              <w:rPr>
                <w:rFonts w:ascii="Times New Roman" w:cs="Times New Roman" w:eastAsia="Times New Roman" w:hAnsi="Times New Roman"/>
                <w:sz w:val="14"/>
                <w:szCs w:val="14"/>
                <w:color w:val="0000EE"/>
              </w:rPr>
              <w:t>Experts</w:t>
            </w:r>
          </w:p>
        </w:tc>
        <w:tc>
          <w:tcPr>
            <w:tcW w:w="194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176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00" w:type="dxa"/>
            <w:vAlign w:val="bottom"/>
            <w:gridSpan w:val="3"/>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500" w:type="dxa"/>
            <w:vAlign w:val="bottom"/>
            <w:gridSpan w:val="15"/>
          </w:tcPr>
          <w:p>
            <w:pPr>
              <w:spacing w:after="0" w:line="147"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194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46"/>
        </w:trPr>
        <w:tc>
          <w:tcPr>
            <w:tcW w:w="2180" w:type="dxa"/>
            <w:vAlign w:val="bottom"/>
            <w:tcBorders>
              <w:top w:val="single" w:sz="8" w:color="0000EE"/>
              <w:bottom w:val="single" w:sz="8" w:color="0000EE"/>
            </w:tcBorders>
            <w:gridSpan w:val="11"/>
          </w:tcPr>
          <w:p>
            <w:pPr>
              <w:spacing w:after="0" w:line="147" w:lineRule="exact"/>
              <w:rPr>
                <w:sz w:val="20"/>
                <w:szCs w:val="20"/>
                <w:color w:val="auto"/>
              </w:rPr>
            </w:pPr>
            <w:r>
              <w:rPr>
                <w:rFonts w:ascii="Times New Roman" w:cs="Times New Roman" w:eastAsia="Times New Roman" w:hAnsi="Times New Roman"/>
                <w:sz w:val="14"/>
                <w:szCs w:val="14"/>
                <w:color w:val="0000EE"/>
                <w:w w:val="98"/>
              </w:rPr>
              <w:t>Information Incorporated by Reference</w:t>
            </w:r>
          </w:p>
        </w:tc>
        <w:tc>
          <w:tcPr>
            <w:tcW w:w="20" w:type="dxa"/>
            <w:vAlign w:val="bottom"/>
            <w:tcBorders>
              <w:top w:val="single" w:sz="8" w:color="0000EE"/>
            </w:tcBorders>
          </w:tcPr>
          <w:p>
            <w:pPr>
              <w:spacing w:after="0"/>
              <w:rPr>
                <w:sz w:val="12"/>
                <w:szCs w:val="12"/>
                <w:color w:val="auto"/>
              </w:rPr>
            </w:pPr>
          </w:p>
        </w:tc>
        <w:tc>
          <w:tcPr>
            <w:tcW w:w="4300" w:type="dxa"/>
            <w:vAlign w:val="bottom"/>
            <w:gridSpan w:val="3"/>
          </w:tcPr>
          <w:p>
            <w:pPr>
              <w:spacing w:after="0"/>
              <w:rPr>
                <w:sz w:val="12"/>
                <w:szCs w:val="12"/>
                <w:color w:val="auto"/>
              </w:rPr>
            </w:pPr>
          </w:p>
        </w:tc>
        <w:tc>
          <w:tcPr>
            <w:tcW w:w="194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1400" w:right="299" w:firstLine="339"/>
        <w:spacing w:after="0" w:line="251" w:lineRule="auto"/>
        <w:rPr>
          <w:sz w:val="20"/>
          <w:szCs w:val="20"/>
          <w:color w:val="auto"/>
        </w:rPr>
      </w:pPr>
      <w:r>
        <w:rPr>
          <w:rFonts w:ascii="Times New Roman" w:cs="Times New Roman" w:eastAsia="Times New Roman" w:hAnsi="Times New Roman"/>
          <w:sz w:val="14"/>
          <w:szCs w:val="14"/>
          <w:color w:val="auto"/>
        </w:rPr>
        <w:t>Neither we, the selling stockholders, nor the underwriters have authorized anyone to provide you with information different from that contained or incorporated by reference in this prospectus, any amendment or supplement to this prospectus, or any free writing prospectus prepared by us or authorized to be provided on our behalf. Neither we, the selling stockholders, nor the underwriters take any responsibility for, or can provide any assurance as to the reliability of, any information other than the information contained or incorporated by reference in this prospectus, any amendment or supplement to this prospectus, or any free writing prospectus prepared by us or authorized to be provided on our behalf. You should assume that the information appearing in this prospectus or in any free writing prospectus prepared by us is accurate only as of their respective dates or on the date or dates which are specified in such documents, and that any information in documents that we have incorporated by reference is accurate only as of the date of such document incorporated by reference. Our business, financial condition, results of operations, and prospects may have changed since those dates.</w:t>
      </w:r>
    </w:p>
    <w:p>
      <w:pPr>
        <w:spacing w:after="0" w:line="148" w:lineRule="exact"/>
        <w:rPr>
          <w:sz w:val="20"/>
          <w:szCs w:val="20"/>
          <w:color w:val="auto"/>
        </w:rPr>
      </w:pPr>
    </w:p>
    <w:p>
      <w:pPr>
        <w:ind w:left="1400" w:right="359" w:firstLine="339"/>
        <w:spacing w:after="0" w:line="255" w:lineRule="auto"/>
        <w:rPr>
          <w:sz w:val="20"/>
          <w:szCs w:val="20"/>
          <w:color w:val="auto"/>
        </w:rPr>
      </w:pPr>
      <w:r>
        <w:rPr>
          <w:rFonts w:ascii="Times New Roman" w:cs="Times New Roman" w:eastAsia="Times New Roman" w:hAnsi="Times New Roman"/>
          <w:sz w:val="14"/>
          <w:szCs w:val="14"/>
          <w:color w:val="auto"/>
        </w:rPr>
        <w:t>We, the selling stockholders, and the underwriters are offering to sell, and seeking offers to buy, shares of our Class A common stock only in jurisdictions where offers and sales are permitted. Neither we, the selling stockholders, nor any of the underwriters have done anything that would permit this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Class A common stock and the distribution of this prospectus outside of the United States.</w:t>
      </w:r>
    </w:p>
    <w:p>
      <w:pPr>
        <w:spacing w:after="0" w:line="9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10159"/>
          </w:cols>
          <w:pgMar w:left="300" w:top="383"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74" w:lineRule="exact"/>
        <w:rPr>
          <w:sz w:val="20"/>
          <w:szCs w:val="20"/>
          <w:color w:val="auto"/>
        </w:rPr>
      </w:pPr>
    </w:p>
    <w:p>
      <w:pPr>
        <w:ind w:left="1400" w:right="359" w:firstLine="339"/>
        <w:spacing w:after="0" w:line="273" w:lineRule="auto"/>
        <w:rPr>
          <w:sz w:val="20"/>
          <w:szCs w:val="20"/>
          <w:color w:val="auto"/>
        </w:rPr>
      </w:pPr>
      <w:r>
        <w:rPr>
          <w:rFonts w:ascii="Times New Roman" w:cs="Times New Roman" w:eastAsia="Times New Roman" w:hAnsi="Times New Roman"/>
          <w:sz w:val="13"/>
          <w:szCs w:val="13"/>
          <w:color w:val="auto"/>
        </w:rPr>
        <w:t>Following the IPO Transactions (as defined below), Medline Holdings, LP (“Medline Holdings”) became the predecessor of Medline Inc. for financial reporting purposes. Medline Inc. is a holding company, and its sole material assets are its equity interests held directly or indirectly through wholly owned subsidiaries in Medline Holdings. As the general partner of Medline Holdings, Medline Inc. operates and controls all of the business and affairs of Medline Holdings and, through Medline Holdings and its subsidiaries, conducts our business. The Reorganization Transactions (as defined herein) lacked economic substance and therefore were accounted for in a manner consistent with a reorganization of entities under common control. As a result, the consolidated financial statements of Medline Inc. recognize the assets and liabilities received in the Reorganization Transactions at their historical carrying amounts, as reflected in the historical financial statements of Medline Holdings. Medline Inc. consolidates Medline Holdings on its consolidated financial statements and records a non-controlling interest related to the Units (as defined herein) held by the Continuing Unitholders (as defined herein) on its consolidated balance sheet and statement of comprehensive income. See “Organizational Structure.”</w:t>
      </w:r>
    </w:p>
    <w:p>
      <w:pPr>
        <w:spacing w:after="0" w:line="133" w:lineRule="exact"/>
        <w:rPr>
          <w:sz w:val="20"/>
          <w:szCs w:val="20"/>
          <w:color w:val="auto"/>
        </w:rPr>
      </w:pPr>
    </w:p>
    <w:p>
      <w:pPr>
        <w:ind w:left="1400" w:right="339" w:firstLine="339"/>
        <w:spacing w:after="0" w:line="278" w:lineRule="auto"/>
        <w:rPr>
          <w:sz w:val="20"/>
          <w:szCs w:val="20"/>
          <w:color w:val="auto"/>
        </w:rPr>
      </w:pPr>
      <w:r>
        <w:rPr>
          <w:rFonts w:ascii="Times New Roman" w:cs="Times New Roman" w:eastAsia="Times New Roman" w:hAnsi="Times New Roman"/>
          <w:sz w:val="14"/>
          <w:szCs w:val="14"/>
          <w:color w:val="auto"/>
        </w:rPr>
        <w:t>Medline Inc. had no significant business transactions or activities prior to the Reorganization Transactions, and, as a result, the historical financial information prior to the completion of the Reorganization Transactions reflects that of Medline Holdings.</w:t>
      </w:r>
    </w:p>
    <w:p>
      <w:pPr>
        <w:spacing w:after="0" w:line="126" w:lineRule="exact"/>
        <w:rPr>
          <w:sz w:val="20"/>
          <w:szCs w:val="20"/>
          <w:color w:val="auto"/>
        </w:rPr>
      </w:pPr>
    </w:p>
    <w:p>
      <w:pPr>
        <w:ind w:left="1400" w:right="279" w:firstLine="339"/>
        <w:spacing w:after="0" w:line="255" w:lineRule="auto"/>
        <w:rPr>
          <w:sz w:val="20"/>
          <w:szCs w:val="20"/>
          <w:color w:val="auto"/>
        </w:rPr>
      </w:pPr>
      <w:r>
        <w:rPr>
          <w:rFonts w:ascii="Times New Roman" w:cs="Times New Roman" w:eastAsia="Times New Roman" w:hAnsi="Times New Roman"/>
          <w:sz w:val="14"/>
          <w:szCs w:val="14"/>
          <w:color w:val="auto"/>
        </w:rPr>
        <w:t>Certain monetary amounts, percentages, and other figures included in this prospectus have been subject to rounding adjustments. Percentage amounts included in this prospectus have been calculated, in some cases, not on the basis of such rounded figures, but on the basis of such amounts prior to rounding. For this reason, percentage amounts in this prospectus may vary from those obtained by performing the same calculations using the figures, on the face of our consolidated financial statements included elsewhere in this prospectus. Certain other amounts that appear in this prospectus may not sum due to rounding.</w:t>
      </w:r>
    </w:p>
    <w:p>
      <w:pPr>
        <w:spacing w:after="0" w:line="143" w:lineRule="exact"/>
        <w:rPr>
          <w:sz w:val="20"/>
          <w:szCs w:val="20"/>
          <w:color w:val="auto"/>
        </w:rPr>
      </w:pPr>
    </w:p>
    <w:p>
      <w:pPr>
        <w:ind w:left="1400" w:right="339" w:firstLine="339"/>
        <w:spacing w:after="0" w:line="284" w:lineRule="auto"/>
        <w:rPr>
          <w:sz w:val="20"/>
          <w:szCs w:val="20"/>
          <w:color w:val="auto"/>
        </w:rPr>
      </w:pPr>
      <w:r>
        <w:rPr>
          <w:rFonts w:ascii="Times New Roman" w:cs="Times New Roman" w:eastAsia="Times New Roman" w:hAnsi="Times New Roman"/>
          <w:sz w:val="13"/>
          <w:szCs w:val="13"/>
          <w:color w:val="auto"/>
        </w:rPr>
        <w:t>In December 2024, we changed the name of Medline Holdings from Mozart Holdings, LP to Medline Holdings, LP. We will not distinguish between the prior and current name of Medline Holdings and will refer to the current name of Medline Holdings throughout this prospectus. References in this prospectus to “Medline,” the “Company,” “we,” “us,” and “our” refer (1) prior to the consummation of the IPO Transactions (as defined herein), to Medline Holdings, LP and its consolidated subsidiaries and (2) after the IPO Transactions to Medline Inc. and its consolidated subsidiaries.</w:t>
      </w:r>
    </w:p>
    <w:p>
      <w:pPr>
        <w:spacing w:after="0" w:line="20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Certain Definitions</w:t>
      </w:r>
    </w:p>
    <w:p>
      <w:pPr>
        <w:spacing w:after="0" w:line="9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As used in this prospectus, unless otherwise noted or the context requires otherwise:</w:t>
      </w:r>
    </w:p>
    <w:p>
      <w:pPr>
        <w:spacing w:after="0" w:line="99" w:lineRule="exact"/>
        <w:rPr>
          <w:sz w:val="20"/>
          <w:szCs w:val="20"/>
          <w:color w:val="auto"/>
        </w:rPr>
      </w:pPr>
    </w:p>
    <w:p>
      <w:pPr>
        <w:ind w:left="2160" w:right="299" w:hanging="342"/>
        <w:spacing w:after="0" w:line="278" w:lineRule="auto"/>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“2025 Form 10-K” refers to Medline Inc.’s Form 10-K for the fiscal year ended December 31, 2025 filed with the Securities and Exchange Commission (“SEC”).</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“2026 Q1 Form 10-Q” refers to Medline Inc.’s Form 10-Q for the quarter ended March 28, 2026 filed with the SEC.</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“Blackstone” refers to investment funds associated with Blackstone Inc.</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“Carlyle” refers to investment funds associated with The Carlyle Group Inc.</w:t>
      </w:r>
    </w:p>
    <w:p>
      <w:pPr>
        <w:spacing w:after="0" w:line="98" w:lineRule="exact"/>
        <w:rPr>
          <w:rFonts w:ascii="Times New Roman" w:cs="Times New Roman" w:eastAsia="Times New Roman" w:hAnsi="Times New Roman"/>
          <w:sz w:val="14"/>
          <w:szCs w:val="14"/>
          <w:color w:val="auto"/>
        </w:rPr>
      </w:pPr>
    </w:p>
    <w:p>
      <w:pPr>
        <w:ind w:left="2160" w:right="399" w:hanging="342"/>
        <w:spacing w:after="0" w:line="292" w:lineRule="auto"/>
        <w:tabs>
          <w:tab w:leader="none" w:pos="216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“Class A Units” refers to the interests in Medline Holdings called “Class A Units” that were outstanding prior to the Reclassification. In connection with the Reclassification, (i) Class A Units held by Continuing Common Unitholders were converted into Common Units and (ii) Class A Units held by Exchanging Class A Unitholders were directly or indirectly exchanged for shares of Class A common stock.</w:t>
      </w:r>
    </w:p>
    <w:p>
      <w:pPr>
        <w:spacing w:after="0" w:line="47" w:lineRule="exact"/>
        <w:rPr>
          <w:rFonts w:ascii="Times New Roman" w:cs="Times New Roman" w:eastAsia="Times New Roman" w:hAnsi="Times New Roman"/>
          <w:sz w:val="13"/>
          <w:szCs w:val="13"/>
          <w:color w:val="auto"/>
        </w:rPr>
      </w:pPr>
    </w:p>
    <w:p>
      <w:pPr>
        <w:ind w:left="2160" w:right="399" w:hanging="342"/>
        <w:spacing w:after="0" w:line="278" w:lineRule="auto"/>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B Units” refers to the interests in Medline Holdings called “Class B Units” that were outstanding prior to the Reclassification, and does not include CUPI Units. In connection with the</w:t>
      </w:r>
    </w:p>
    <w:p>
      <w:pPr>
        <w:spacing w:after="0" w:line="7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ii</w:t>
      </w:r>
    </w:p>
    <w:p>
      <w:pPr>
        <w:sectPr>
          <w:pgSz w:w="11900" w:h="16838" w:orient="portrait"/>
          <w:cols w:equalWidth="0" w:num="1">
            <w:col w:w="10159"/>
          </w:cols>
          <w:pgMar w:left="300" w:top="383"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2160" w:right="399"/>
        <w:spacing w:after="0" w:line="263" w:lineRule="auto"/>
        <w:rPr>
          <w:sz w:val="20"/>
          <w:szCs w:val="20"/>
          <w:color w:val="auto"/>
        </w:rPr>
      </w:pPr>
      <w:r>
        <w:rPr>
          <w:rFonts w:ascii="Times New Roman" w:cs="Times New Roman" w:eastAsia="Times New Roman" w:hAnsi="Times New Roman"/>
          <w:sz w:val="14"/>
          <w:szCs w:val="14"/>
          <w:color w:val="auto"/>
        </w:rPr>
        <w:t>Reclassification, (i) Class B Units held by Continuing Incentive Unitholders were converted into Incentive Units and (ii) Class B Units held by Exchanging Class B Unitholders were directly or indirectly exchanged for shares of Class A common stock (in the case of vested Class B Units) and/or restricted shares of Class A common stock (in the case of unvested Class B Units).</w:t>
      </w:r>
    </w:p>
    <w:p>
      <w:pPr>
        <w:spacing w:after="0" w:line="63" w:lineRule="exact"/>
        <w:rPr>
          <w:sz w:val="20"/>
          <w:szCs w:val="20"/>
          <w:color w:val="auto"/>
        </w:rPr>
      </w:pPr>
    </w:p>
    <w:p>
      <w:pPr>
        <w:ind w:left="2160" w:right="419" w:hanging="342"/>
        <w:spacing w:after="0" w:line="278" w:lineRule="auto"/>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Units” refers to the new class of units of Medline Holdings created by the Reclassification as described under “Organizational Structure” and does not include Incentive Units.</w:t>
      </w:r>
    </w:p>
    <w:p>
      <w:pPr>
        <w:spacing w:after="0" w:line="53" w:lineRule="exact"/>
        <w:rPr>
          <w:rFonts w:ascii="Times New Roman" w:cs="Times New Roman" w:eastAsia="Times New Roman" w:hAnsi="Times New Roman"/>
          <w:sz w:val="14"/>
          <w:szCs w:val="14"/>
          <w:color w:val="auto"/>
        </w:rPr>
      </w:pPr>
    </w:p>
    <w:p>
      <w:pPr>
        <w:ind w:left="2160" w:right="739" w:hanging="342"/>
        <w:spacing w:after="0" w:line="278" w:lineRule="auto"/>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“Continuing Common Unitholders” refers to certain pre-IPO holders of Class A Units and/or CUPI Units who hold Common Units following the Reclassification, as described under “Organizational Structure.”</w:t>
      </w:r>
    </w:p>
    <w:p>
      <w:pPr>
        <w:spacing w:after="0" w:line="53" w:lineRule="exact"/>
        <w:rPr>
          <w:rFonts w:ascii="Times New Roman" w:cs="Times New Roman" w:eastAsia="Times New Roman" w:hAnsi="Times New Roman"/>
          <w:sz w:val="14"/>
          <w:szCs w:val="14"/>
          <w:color w:val="auto"/>
        </w:rPr>
      </w:pPr>
    </w:p>
    <w:p>
      <w:pPr>
        <w:ind w:left="2160" w:right="1039" w:hanging="342"/>
        <w:spacing w:after="0" w:line="278" w:lineRule="auto"/>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“Continuing Incentive Unitholders” refers to certain pre-IPO holders of Class B Units who hold Incentive Units following the Reclassification, as described under “Organizational Structure.”</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“Continuing Unitholders” refers collectively to Continuing Common Unitholders and Continuing Incentive Unitholders.</w:t>
      </w:r>
    </w:p>
    <w:p>
      <w:pPr>
        <w:spacing w:after="0" w:line="98" w:lineRule="exact"/>
        <w:rPr>
          <w:rFonts w:ascii="Times New Roman" w:cs="Times New Roman" w:eastAsia="Times New Roman" w:hAnsi="Times New Roman"/>
          <w:sz w:val="14"/>
          <w:szCs w:val="14"/>
          <w:color w:val="auto"/>
        </w:rPr>
      </w:pPr>
    </w:p>
    <w:p>
      <w:pPr>
        <w:ind w:left="2160" w:right="279" w:hanging="342"/>
        <w:spacing w:after="0" w:line="258" w:lineRule="auto"/>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“CUPI Units” refers to the interests in Medline Holdings that are designated as “Catch-Up Class B Units” and were outstanding prior to the Reclassification. In connection with the Reclassification, (i) CUPI Units held by Continuing Common Unitholders were converted into Common Units and (ii) CUPI Units held by Exchanging CUPI Unitholders were directly or indirectly exchanged for shares of Class A common stock.</w:t>
      </w:r>
    </w:p>
    <w:p>
      <w:pPr>
        <w:spacing w:after="0" w:line="66" w:lineRule="exact"/>
        <w:rPr>
          <w:rFonts w:ascii="Times New Roman" w:cs="Times New Roman" w:eastAsia="Times New Roman" w:hAnsi="Times New Roman"/>
          <w:sz w:val="14"/>
          <w:szCs w:val="14"/>
          <w:color w:val="auto"/>
        </w:rPr>
      </w:pPr>
    </w:p>
    <w:p>
      <w:pPr>
        <w:ind w:left="2160" w:right="919" w:hanging="342"/>
        <w:spacing w:after="0" w:line="278" w:lineRule="auto"/>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“Designating Stockholder” refers to each of our Principal Stockholders with whom we are party to separate director nomination agreements.</w:t>
      </w:r>
    </w:p>
    <w:p>
      <w:pPr>
        <w:spacing w:after="0" w:line="53" w:lineRule="exact"/>
        <w:rPr>
          <w:rFonts w:ascii="Times New Roman" w:cs="Times New Roman" w:eastAsia="Times New Roman" w:hAnsi="Times New Roman"/>
          <w:sz w:val="14"/>
          <w:szCs w:val="14"/>
          <w:color w:val="auto"/>
        </w:rPr>
      </w:pPr>
    </w:p>
    <w:p>
      <w:pPr>
        <w:ind w:left="2160" w:right="279" w:hanging="342"/>
        <w:spacing w:after="0" w:line="278" w:lineRule="auto"/>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“Exchanging Class A Unitholder” refers to pre-IPO holders of Class A Units whose Class A Units were directly or indirectly exchanged for shares of Class A common stock following the Reclassification, as described under “Organizational Structure.”</w:t>
      </w:r>
    </w:p>
    <w:p>
      <w:pPr>
        <w:spacing w:after="0" w:line="53" w:lineRule="exact"/>
        <w:rPr>
          <w:rFonts w:ascii="Times New Roman" w:cs="Times New Roman" w:eastAsia="Times New Roman" w:hAnsi="Times New Roman"/>
          <w:sz w:val="14"/>
          <w:szCs w:val="14"/>
          <w:color w:val="auto"/>
        </w:rPr>
      </w:pPr>
    </w:p>
    <w:p>
      <w:pPr>
        <w:ind w:left="2160" w:right="279" w:hanging="342"/>
        <w:spacing w:after="0" w:line="263" w:lineRule="auto"/>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“Exchanging Class B Unitholder” refers to pre-IPO holders of Class B Units whose Class B Units were directly or indirectly exchanged for shares of Class A common stock (in the case of vested Class B Units) and/or restricted shares of Class A common stock (in the case of unvested Class B Units) following the Reclassification, as described under “Organizational Structure.”</w:t>
      </w:r>
    </w:p>
    <w:p>
      <w:pPr>
        <w:spacing w:after="0" w:line="63" w:lineRule="exact"/>
        <w:rPr>
          <w:rFonts w:ascii="Times New Roman" w:cs="Times New Roman" w:eastAsia="Times New Roman" w:hAnsi="Times New Roman"/>
          <w:sz w:val="14"/>
          <w:szCs w:val="14"/>
          <w:color w:val="auto"/>
        </w:rPr>
      </w:pPr>
    </w:p>
    <w:p>
      <w:pPr>
        <w:ind w:left="2160" w:right="619" w:hanging="342"/>
        <w:spacing w:after="0" w:line="278" w:lineRule="auto"/>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“Exchanging CUPI Unitholder” refers to pre-IPO holders of CUPI Units whose CUPI Units were directly or indirectly exchanged for shares of Class A common stock following the Reclassification, as described under “Organizational Structure.”</w:t>
      </w:r>
    </w:p>
    <w:p>
      <w:pPr>
        <w:spacing w:after="0" w:line="53" w:lineRule="exact"/>
        <w:rPr>
          <w:rFonts w:ascii="Times New Roman" w:cs="Times New Roman" w:eastAsia="Times New Roman" w:hAnsi="Times New Roman"/>
          <w:sz w:val="14"/>
          <w:szCs w:val="14"/>
          <w:color w:val="auto"/>
        </w:rPr>
      </w:pPr>
    </w:p>
    <w:p>
      <w:pPr>
        <w:ind w:left="2160" w:right="319" w:hanging="342"/>
        <w:spacing w:after="0" w:line="278" w:lineRule="auto"/>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“Exchanging Unitholders” refers collectively to Exchanging Class A Unitholders, Exchanging CUPI Unitholders, and Exchanging Class B Unitholders.</w:t>
      </w:r>
    </w:p>
    <w:p>
      <w:pPr>
        <w:spacing w:after="0" w:line="53" w:lineRule="exact"/>
        <w:rPr>
          <w:rFonts w:ascii="Times New Roman" w:cs="Times New Roman" w:eastAsia="Times New Roman" w:hAnsi="Times New Roman"/>
          <w:sz w:val="14"/>
          <w:szCs w:val="14"/>
          <w:color w:val="auto"/>
        </w:rPr>
      </w:pPr>
    </w:p>
    <w:p>
      <w:pPr>
        <w:ind w:left="2160" w:right="319" w:hanging="342"/>
        <w:spacing w:after="0" w:line="278" w:lineRule="auto"/>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“existing owners” or “pre-IPO owners” refer to our Principal Stockholders, our Other Pre-IPO Investors and management and other equity holders who were the owners of Medline Holdings immediately prior to the Reorganization Transactions.</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“H&amp;F” refers to investment funds associated with Hellman &amp; Friedman LLC.</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“Hux” refers to Hux Investment Pte. Ltd.</w:t>
      </w:r>
    </w:p>
    <w:p>
      <w:pPr>
        <w:spacing w:after="0" w:line="98" w:lineRule="exact"/>
        <w:rPr>
          <w:rFonts w:ascii="Times New Roman" w:cs="Times New Roman" w:eastAsia="Times New Roman" w:hAnsi="Times New Roman"/>
          <w:sz w:val="14"/>
          <w:szCs w:val="14"/>
          <w:color w:val="auto"/>
        </w:rPr>
      </w:pPr>
    </w:p>
    <w:p>
      <w:pPr>
        <w:ind w:left="2160" w:right="379" w:hanging="342"/>
        <w:spacing w:after="0" w:line="255" w:lineRule="auto"/>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“Incentive Units” refers to the new class of units of Medline Holdings created by the reclassification of the Class B Units in the Reclassification as described under “Organizational Structure.” The Incentive Units are “profit interests” having economic characteristics similar to stock appreciation rights and having the right to share in any equity value of Medline Holdings above specified participation thresholds. Vested Incentive Units may be converted to Common Units and be subsequently exchanged for shares of Class A common stock, as described under “Organizational Structure.”</w:t>
      </w:r>
    </w:p>
    <w:p>
      <w:pPr>
        <w:spacing w:after="0" w:line="70"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“IPO” refers to the initial public offering of our Class A common stock, which closed on December 18, 2025.</w:t>
      </w:r>
    </w:p>
    <w:p>
      <w:pPr>
        <w:spacing w:after="0" w:line="1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iii</w:t>
      </w:r>
    </w:p>
    <w:p>
      <w:pPr>
        <w:sectPr>
          <w:pgSz w:w="11900" w:h="16838" w:orient="portrait"/>
          <w:cols w:equalWidth="0" w:num="1">
            <w:col w:w="10159"/>
          </w:cols>
          <w:pgMar w:left="300" w:top="383"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2160" w:right="1139" w:hanging="342"/>
        <w:spacing w:after="0" w:line="278" w:lineRule="auto"/>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“IPO Transactions” refers to the offering of Class A common stock in our IPO and certain related transactions, as defined in “Organizational Structure—IPO Transactions.”</w:t>
      </w:r>
    </w:p>
    <w:p>
      <w:pPr>
        <w:spacing w:after="0" w:line="53" w:lineRule="exact"/>
        <w:rPr>
          <w:rFonts w:ascii="Times New Roman" w:cs="Times New Roman" w:eastAsia="Times New Roman" w:hAnsi="Times New Roman"/>
          <w:sz w:val="14"/>
          <w:szCs w:val="14"/>
          <w:color w:val="auto"/>
        </w:rPr>
      </w:pPr>
    </w:p>
    <w:p>
      <w:pPr>
        <w:jc w:val="both"/>
        <w:ind w:left="2160" w:right="959" w:hanging="342"/>
        <w:spacing w:after="0" w:line="292" w:lineRule="auto"/>
        <w:tabs>
          <w:tab w:leader="none" w:pos="216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“Medline,” the “Company,” “we,” “us,” and “our” refer (1) prior to the consummation of the IPO Transactions described under “Organizational Structure—IPO Transactions,” to Medline Holdings, LP and its consolidated subsidiaries and (2) after the IPO Transactions described under “Organizational Structure—IPO Transactions,” to Medline Inc. and its consolidated subsidiaries.</w:t>
      </w:r>
    </w:p>
    <w:p>
      <w:pPr>
        <w:spacing w:after="0" w:line="47" w:lineRule="exact"/>
        <w:rPr>
          <w:rFonts w:ascii="Times New Roman" w:cs="Times New Roman" w:eastAsia="Times New Roman" w:hAnsi="Times New Roman"/>
          <w:sz w:val="13"/>
          <w:szCs w:val="13"/>
          <w:color w:val="auto"/>
        </w:rPr>
      </w:pPr>
    </w:p>
    <w:p>
      <w:pPr>
        <w:ind w:left="2160" w:right="659" w:hanging="342"/>
        <w:spacing w:after="0" w:line="263" w:lineRule="auto"/>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“Medline Brand” or “MB” refers to products manufactured by Medline, sourced by Medline and sold under a Medline trademark, or certain third-party products distributed by Medline that drive value for our customers, which we also refer to as “Medline Preferred Products.” Medline Brand is one of our two reportable segments.</w:t>
      </w:r>
    </w:p>
    <w:p>
      <w:pPr>
        <w:spacing w:after="0" w:line="63" w:lineRule="exact"/>
        <w:rPr>
          <w:rFonts w:ascii="Times New Roman" w:cs="Times New Roman" w:eastAsia="Times New Roman" w:hAnsi="Times New Roman"/>
          <w:sz w:val="14"/>
          <w:szCs w:val="14"/>
          <w:color w:val="auto"/>
        </w:rPr>
      </w:pPr>
    </w:p>
    <w:p>
      <w:pPr>
        <w:ind w:left="2160" w:right="359" w:hanging="342"/>
        <w:spacing w:after="0" w:line="278" w:lineRule="auto"/>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“Mills Family” refers to the holders of equity interests of Medline Holdings immediately prior to the Reorganization Transactions that are affiliated with members of the Mills family.</w:t>
      </w:r>
    </w:p>
    <w:p>
      <w:pPr>
        <w:spacing w:after="0" w:line="53" w:lineRule="exact"/>
        <w:rPr>
          <w:rFonts w:ascii="Times New Roman" w:cs="Times New Roman" w:eastAsia="Times New Roman" w:hAnsi="Times New Roman"/>
          <w:sz w:val="14"/>
          <w:szCs w:val="14"/>
          <w:color w:val="auto"/>
        </w:rPr>
      </w:pPr>
    </w:p>
    <w:p>
      <w:pPr>
        <w:ind w:left="2160" w:right="319" w:hanging="342"/>
        <w:spacing w:after="0" w:line="318" w:lineRule="auto"/>
        <w:tabs>
          <w:tab w:leader="none" w:pos="216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“Offering Transactions” refers to the offering of Class A common stock hereby and the related exchange of Common Units for shares of Class A common stock and subsequent sale of such shares of Class A Common stock in this offering by certain of the selling stockholders.</w:t>
      </w:r>
    </w:p>
    <w:p>
      <w:pPr>
        <w:spacing w:after="0" w:line="30" w:lineRule="exact"/>
        <w:rPr>
          <w:rFonts w:ascii="Times New Roman" w:cs="Times New Roman" w:eastAsia="Times New Roman" w:hAnsi="Times New Roman"/>
          <w:sz w:val="13"/>
          <w:szCs w:val="13"/>
          <w:color w:val="auto"/>
        </w:rPr>
      </w:pPr>
    </w:p>
    <w:p>
      <w:pPr>
        <w:ind w:left="2160" w:hanging="342"/>
        <w:spacing w:after="0"/>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Pre-IPO Investors” refers collectively to Hux and Platinum Falcon.</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“Platinum Falcon” refers to Platinum Falcon B 2018 RSC Limited.</w:t>
      </w:r>
    </w:p>
    <w:p>
      <w:pPr>
        <w:spacing w:after="0" w:line="98" w:lineRule="exact"/>
        <w:rPr>
          <w:rFonts w:ascii="Times New Roman" w:cs="Times New Roman" w:eastAsia="Times New Roman" w:hAnsi="Times New Roman"/>
          <w:sz w:val="14"/>
          <w:szCs w:val="14"/>
          <w:color w:val="auto"/>
        </w:rPr>
      </w:pPr>
    </w:p>
    <w:p>
      <w:pPr>
        <w:ind w:left="2160" w:right="359" w:hanging="342"/>
        <w:spacing w:after="0" w:line="278" w:lineRule="auto"/>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“Pre-IPO Stockholders” refers to certain of our pre-IPO owners that received shares of Class A common stock of Medline Inc. pursuant to the Blocker Transfers as defined and described in “Organizational Structure—Blocker Transfers.”</w:t>
      </w:r>
    </w:p>
    <w:p>
      <w:pPr>
        <w:spacing w:after="0" w:line="53" w:lineRule="exact"/>
        <w:rPr>
          <w:rFonts w:ascii="Times New Roman" w:cs="Times New Roman" w:eastAsia="Times New Roman" w:hAnsi="Times New Roman"/>
          <w:sz w:val="14"/>
          <w:szCs w:val="14"/>
          <w:color w:val="auto"/>
        </w:rPr>
      </w:pPr>
    </w:p>
    <w:p>
      <w:pPr>
        <w:ind w:left="2160" w:right="439" w:hanging="342"/>
        <w:spacing w:after="0" w:line="278" w:lineRule="auto"/>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“Prime Vendor” refers to a relationship for which there is a multi-year distribution agreement between Medline and a customer, whereby the customer agrees to use Medline for the vast majority of its med-surg product needs.</w:t>
      </w:r>
    </w:p>
    <w:p>
      <w:pPr>
        <w:spacing w:after="0" w:line="42" w:lineRule="exact"/>
        <w:rPr>
          <w:rFonts w:ascii="Times New Roman" w:cs="Times New Roman" w:eastAsia="Times New Roman" w:hAnsi="Times New Roman"/>
          <w:sz w:val="14"/>
          <w:szCs w:val="14"/>
          <w:color w:val="auto"/>
        </w:rPr>
      </w:pPr>
    </w:p>
    <w:p>
      <w:pPr>
        <w:jc w:val="both"/>
        <w:ind w:left="2160" w:right="439"/>
        <w:spacing w:after="0" w:line="26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Prime Vendor model began in the acute care channel and, as these hospitals expanded into other sites of care, we have extended this model into the non-acute space to include those affiliated sites of care (“acute affiliated”). For purposes of the Prime Vendor data within this prospectus, we are only including those customers that are acute and acute affiliated.</w:t>
      </w:r>
    </w:p>
    <w:p>
      <w:pPr>
        <w:spacing w:after="0" w:line="53" w:lineRule="exact"/>
        <w:rPr>
          <w:rFonts w:ascii="Times New Roman" w:cs="Times New Roman" w:eastAsia="Times New Roman" w:hAnsi="Times New Roman"/>
          <w:sz w:val="14"/>
          <w:szCs w:val="14"/>
          <w:color w:val="auto"/>
        </w:rPr>
      </w:pPr>
    </w:p>
    <w:p>
      <w:pPr>
        <w:ind w:left="2160" w:right="419"/>
        <w:spacing w:after="0" w:line="31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Over time, we have also entered into Prime Vendor agreements with facilities that are non-acute and not affiliated with a hospital system (i.e., not acute affiliated). Data in this prospectus does not include Prime Vendor relationships outside of acute and acute affiliated.</w:t>
      </w:r>
    </w:p>
    <w:p>
      <w:pPr>
        <w:spacing w:after="0" w:line="30" w:lineRule="exact"/>
        <w:rPr>
          <w:rFonts w:ascii="Times New Roman" w:cs="Times New Roman" w:eastAsia="Times New Roman" w:hAnsi="Times New Roman"/>
          <w:sz w:val="14"/>
          <w:szCs w:val="14"/>
          <w:color w:val="auto"/>
        </w:rPr>
      </w:pPr>
    </w:p>
    <w:p>
      <w:pPr>
        <w:ind w:left="2160" w:right="279" w:hanging="342"/>
        <w:spacing w:after="0" w:line="255" w:lineRule="auto"/>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“Prime Vendor retention rate” is calculated as (x)(i) the net sales for the prior fiscal year from Prime Vendor customers as of the end of such fiscal year (the “Prior Period Prime Vendor Customers”) less (ii) the Retention Change, divided by (y) the net sales for the prior fiscal year from the Prior Period Prime Vendor Customers. “Retention Change” is defined as the decrease in net sales from the prior fiscal year as compared to the current fiscal year attributable to Prior Period Prime Vendor Customers whose agreement end date occurred during the current fiscal year and was not renewed.</w:t>
      </w:r>
    </w:p>
    <w:p>
      <w:pPr>
        <w:spacing w:after="0" w:line="70"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“Principal Stockholders” refers collectively to Blackstone, Carlyle, H&amp;F, and the Mills Family.</w:t>
      </w:r>
    </w:p>
    <w:p>
      <w:pPr>
        <w:spacing w:after="0" w:line="98" w:lineRule="exact"/>
        <w:rPr>
          <w:rFonts w:ascii="Times New Roman" w:cs="Times New Roman" w:eastAsia="Times New Roman" w:hAnsi="Times New Roman"/>
          <w:sz w:val="14"/>
          <w:szCs w:val="14"/>
          <w:color w:val="auto"/>
        </w:rPr>
      </w:pPr>
    </w:p>
    <w:p>
      <w:pPr>
        <w:ind w:left="2160" w:right="519" w:hanging="342"/>
        <w:spacing w:after="0" w:line="263" w:lineRule="auto"/>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“Reclassification” refers to the reclassification of the partnership interests of Medline Holdings, as described in “Summary—Our Structure” and “Organizational Structure—Reclassification and Amendment and Restatement of the Limited Partnership Agreement of Medline Holdings.”</w:t>
      </w:r>
    </w:p>
    <w:p>
      <w:pPr>
        <w:spacing w:after="0" w:line="63" w:lineRule="exact"/>
        <w:rPr>
          <w:rFonts w:ascii="Times New Roman" w:cs="Times New Roman" w:eastAsia="Times New Roman" w:hAnsi="Times New Roman"/>
          <w:sz w:val="14"/>
          <w:szCs w:val="14"/>
          <w:color w:val="auto"/>
        </w:rPr>
      </w:pPr>
    </w:p>
    <w:p>
      <w:pPr>
        <w:ind w:left="2160" w:right="319" w:hanging="342"/>
        <w:spacing w:after="0" w:line="278" w:lineRule="auto"/>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“Reorganization Transactions” refers to the transactions described under “Organizational Structure—Reclassification and Amendment and Restatement of the Limited Partnership Agreement of Medline Holdings.”</w:t>
      </w:r>
    </w:p>
    <w:p>
      <w:pPr>
        <w:spacing w:after="0" w:line="53" w:lineRule="exact"/>
        <w:rPr>
          <w:rFonts w:ascii="Times New Roman" w:cs="Times New Roman" w:eastAsia="Times New Roman" w:hAnsi="Times New Roman"/>
          <w:sz w:val="14"/>
          <w:szCs w:val="14"/>
          <w:color w:val="auto"/>
        </w:rPr>
      </w:pPr>
    </w:p>
    <w:p>
      <w:pPr>
        <w:ind w:left="2160" w:right="279" w:hanging="342"/>
        <w:spacing w:after="0" w:line="278" w:lineRule="auto"/>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“Sponsor Acquisition” refers to the acquisition on October 21, 2021 by our Sponsors of a majority interest in Medline Holdings and certain transactions related thereto.</w:t>
      </w:r>
    </w:p>
    <w:p>
      <w:pPr>
        <w:spacing w:after="0" w:line="7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iv</w:t>
      </w:r>
    </w:p>
    <w:p>
      <w:pPr>
        <w:sectPr>
          <w:pgSz w:w="11900" w:h="16838" w:orient="portrait"/>
          <w:cols w:equalWidth="0" w:num="1">
            <w:col w:w="10159"/>
          </w:cols>
          <w:pgMar w:left="300" w:top="383"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2160" w:hanging="342"/>
        <w:spacing w:after="0"/>
        <w:tabs>
          <w:tab w:leader="none" w:pos="2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“Sponsors” refers collectively to Blackstone, Carlyle, and H&amp;F.</w:t>
      </w:r>
    </w:p>
    <w:p>
      <w:pPr>
        <w:spacing w:after="0" w:line="98" w:lineRule="exact"/>
        <w:rPr>
          <w:rFonts w:ascii="Times New Roman" w:cs="Times New Roman" w:eastAsia="Times New Roman" w:hAnsi="Times New Roman"/>
          <w:sz w:val="14"/>
          <w:szCs w:val="14"/>
          <w:color w:val="auto"/>
        </w:rPr>
      </w:pPr>
    </w:p>
    <w:p>
      <w:pPr>
        <w:ind w:left="2160" w:right="339" w:hanging="342"/>
        <w:spacing w:after="0" w:line="258" w:lineRule="auto"/>
        <w:tabs>
          <w:tab w:leader="none" w:pos="2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“Supply Chain Solutions” or “SCS” refers to products distributed by Medline from third-party suppliers that are not included in the Medline Brand segment and supply chain optimization services such as consulting engagements, outsourced warehouse and technology management, put-away-ready packaging, third-party logistics, inventory rationalization and route planning. Supply Chain Solutions is one of our two reportable segments.</w:t>
      </w:r>
    </w:p>
    <w:p>
      <w:pPr>
        <w:spacing w:after="0" w:line="66" w:lineRule="exact"/>
        <w:rPr>
          <w:rFonts w:ascii="Times New Roman" w:cs="Times New Roman" w:eastAsia="Times New Roman" w:hAnsi="Times New Roman"/>
          <w:sz w:val="14"/>
          <w:szCs w:val="14"/>
          <w:color w:val="auto"/>
        </w:rPr>
      </w:pPr>
    </w:p>
    <w:p>
      <w:pPr>
        <w:ind w:left="2160" w:right="499" w:hanging="342"/>
        <w:spacing w:after="0" w:line="278" w:lineRule="auto"/>
        <w:tabs>
          <w:tab w:leader="none" w:pos="2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new customer signings” refers to the estimated annual contract value of all new contracts entered into during a given year by new customers or by existing customers who are expanding their relationship with Medline, excluding renewals and extensions.</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“Units” refers collectively to Common Units and Incentive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3019425</wp:posOffset>
            </wp:positionH>
            <wp:positionV relativeFrom="paragraph">
              <wp:posOffset>184150</wp:posOffset>
            </wp:positionV>
            <wp:extent cx="1129030" cy="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29030" cy="635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1400" w:right="399" w:firstLine="339"/>
        <w:spacing w:after="0" w:line="278" w:lineRule="auto"/>
        <w:rPr>
          <w:sz w:val="20"/>
          <w:szCs w:val="20"/>
          <w:color w:val="auto"/>
        </w:rPr>
      </w:pPr>
      <w:r>
        <w:rPr>
          <w:rFonts w:ascii="Times New Roman" w:cs="Times New Roman" w:eastAsia="Times New Roman" w:hAnsi="Times New Roman"/>
          <w:sz w:val="14"/>
          <w:szCs w:val="14"/>
          <w:color w:val="auto"/>
        </w:rPr>
        <w:t>Unless indicated otherwise, the information included in this prospectus assumes no exercise by the underwriters of their option to purchase up to an additional 9,000,000 shares of Class A common stock from the selling stockholders.</w:t>
      </w:r>
    </w:p>
    <w:p>
      <w:pPr>
        <w:spacing w:after="0" w:line="7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v</w:t>
      </w:r>
    </w:p>
    <w:p>
      <w:pPr>
        <w:sectPr>
          <w:pgSz w:w="11900" w:h="16838" w:orient="portrait"/>
          <w:cols w:equalWidth="0" w:num="1">
            <w:col w:w="10159"/>
          </w:cols>
          <w:pgMar w:left="300" w:top="383"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4971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93690" cy="4971415"/>
                    </a:xfrm>
                    <a:prstGeom prst="rect">
                      <a:avLst/>
                    </a:prstGeom>
                    <a:noFill/>
                  </pic:spPr>
                </pic:pic>
              </a:graphicData>
            </a:graphic>
          </wp:anchor>
        </w:drawing>
      </w:r>
    </w:p>
    <w:p>
      <w:pPr>
        <w:spacing w:after="0" w:line="36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SUMMARY</w:t>
      </w:r>
    </w:p>
    <w:p>
      <w:pPr>
        <w:spacing w:after="0" w:line="172" w:lineRule="exact"/>
        <w:rPr>
          <w:sz w:val="20"/>
          <w:szCs w:val="20"/>
          <w:color w:val="auto"/>
        </w:rPr>
      </w:pPr>
    </w:p>
    <w:p>
      <w:pPr>
        <w:ind w:left="1540" w:right="499" w:firstLine="328"/>
        <w:spacing w:after="0" w:line="256" w:lineRule="auto"/>
        <w:rPr>
          <w:sz w:val="20"/>
          <w:szCs w:val="20"/>
          <w:color w:val="auto"/>
        </w:rPr>
      </w:pPr>
      <w:r>
        <w:rPr>
          <w:rFonts w:ascii="Times New Roman" w:cs="Times New Roman" w:eastAsia="Times New Roman" w:hAnsi="Times New Roman"/>
          <w:sz w:val="14"/>
          <w:szCs w:val="14"/>
          <w:i w:val="1"/>
          <w:iCs w:val="1"/>
          <w:color w:val="auto"/>
        </w:rPr>
        <w:t>This summary highlights information contained elsewhere in this prospectus and does not contain all of the information you should consider before investing in shares of our Class A common stock. You should read this entire prospectus carefully, including information incorporated by reference in this prospectus and any free writing prospectus prepared by us or on our behalf, including the section entitled “Risk Factors” in this prospectus, the documents incorporated by reference in this prospectus, and the consolidated financial statements and the related notes thereto incorporated by reference in this prospectus before you decide to invest in shares of our Class A common stock.</w:t>
      </w:r>
    </w:p>
    <w:p>
      <w:pPr>
        <w:spacing w:after="0" w:line="30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b w:val="1"/>
          <w:bCs w:val="1"/>
          <w:color w:val="auto"/>
        </w:rPr>
        <w:t>Our Mission</w:t>
      </w:r>
    </w:p>
    <w:p>
      <w:pPr>
        <w:spacing w:after="0" w:line="174"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4"/>
          <w:szCs w:val="14"/>
          <w:color w:val="auto"/>
        </w:rPr>
        <w:t>Our mission is to make healthcare run better by delivering improved clinical, financial, and operational outcomes.</w:t>
      </w:r>
    </w:p>
    <w:p>
      <w:pPr>
        <w:spacing w:after="0" w:line="33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74" w:lineRule="exact"/>
        <w:rPr>
          <w:sz w:val="20"/>
          <w:szCs w:val="20"/>
          <w:color w:val="auto"/>
        </w:rPr>
      </w:pPr>
    </w:p>
    <w:p>
      <w:pPr>
        <w:ind w:left="1540" w:right="439" w:firstLine="328"/>
        <w:spacing w:after="0" w:line="251" w:lineRule="auto"/>
        <w:rPr>
          <w:sz w:val="20"/>
          <w:szCs w:val="20"/>
          <w:color w:val="auto"/>
        </w:rPr>
      </w:pPr>
      <w:r>
        <w:rPr>
          <w:rFonts w:ascii="Times New Roman" w:cs="Times New Roman" w:eastAsia="Times New Roman" w:hAnsi="Times New Roman"/>
          <w:sz w:val="14"/>
          <w:szCs w:val="14"/>
          <w:color w:val="auto"/>
        </w:rPr>
        <w:t>We are the largest provider of medical-surgical (“med-surg”) products and supply chain solutions serving all points of care, based on total net sales of med-surg products. We deliver mission-critical products used daily across the full range of care settings, from hospitals and surgery centers to physician offices and post-acute facilities. Through our two segments, Medline Brand and Supply Chain Solutions, we offer approximately 335,000 med-surg products, including surgical and procedural kits, gloves and protective apparel, urological and incontinence care, wound care, and consumable lab and diagnostics products. We hold the leading position across several of our end markets and many of our key product families. We distribute these products through our expansive network of 70 global distribution facilities, spanning over 29 million square feet of warehouse space, and our owned fleet of over 2,100 MedTrans trucks, enabling us to provide next-day delivery to 95% of our U.S. customers. Our integrated business model and customer-centric culture drives lower costs and better value for our stakeholders. This is the foundation for our durable recurring revenue base, with our net sales having grown every year since inception of the Company at a compound annual growth rate (“CAGR”) of 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1"/>
          <w:szCs w:val="11"/>
          <w:i w:val="1"/>
          <w:iCs w:val="1"/>
          <w:color w:val="auto"/>
        </w:rPr>
        <w:t>Note: Amounts were calculated in accordance with the historical accounting standards applicable to the Company in the relevant period.</w:t>
      </w:r>
    </w:p>
    <w:p>
      <w:pPr>
        <w:spacing w:after="0" w:line="25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0159"/>
          </w:cols>
          <w:pgMar w:left="300" w:top="383"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48590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393690" cy="4859020"/>
                    </a:xfrm>
                    <a:prstGeom prst="rect">
                      <a:avLst/>
                    </a:prstGeom>
                    <a:noFill/>
                  </pic:spPr>
                </pic:pic>
              </a:graphicData>
            </a:graphic>
          </wp:anchor>
        </w:drawing>
      </w:r>
    </w:p>
    <w:p>
      <w:pPr>
        <w:spacing w:after="0" w:line="362" w:lineRule="exact"/>
        <w:rPr>
          <w:sz w:val="20"/>
          <w:szCs w:val="20"/>
          <w:color w:val="auto"/>
        </w:rPr>
      </w:pPr>
    </w:p>
    <w:p>
      <w:pPr>
        <w:ind w:left="1540" w:right="479" w:firstLine="328"/>
        <w:spacing w:after="0" w:line="251" w:lineRule="auto"/>
        <w:rPr>
          <w:sz w:val="20"/>
          <w:szCs w:val="20"/>
          <w:color w:val="auto"/>
        </w:rPr>
      </w:pPr>
      <w:r>
        <w:rPr>
          <w:rFonts w:ascii="Times New Roman" w:cs="Times New Roman" w:eastAsia="Times New Roman" w:hAnsi="Times New Roman"/>
          <w:sz w:val="14"/>
          <w:szCs w:val="14"/>
          <w:color w:val="auto"/>
        </w:rPr>
        <w:t>We were founded in 1966 as a med-surg product manufacturer serving the hospital and nursing home sites of care. Through our deep engagement with customers, we recognized a significant gap in the market—our customers were underserved by a fragmented supplier base and faced challenges navigating a complex supply chain. We identified their need for a supply chain partner that was fully integrated, cost-effective, high-quality, and resilient. Our vision was to create a differentiated model that solved these pain points through an integrated company that combined both manufacturing and distribution capabilities and would become a trusted partner to our customers. Twenty-nine years ago, we began augmenting our platform to bring this vision to life: we invested in our distribution capabilities, continued to expand our product portfolio, and adopted the Prime Vendor model. This enabled us to serve a more diverse customer base across multiple end markets, while lowering costs and delivering superior service levels. As a result, Medline is now the largest provider of med-surg products and supply chain solutions serving all points of care, based on total net sales of med-surg products.</w:t>
      </w:r>
    </w:p>
    <w:p>
      <w:pPr>
        <w:spacing w:after="0" w:line="148" w:lineRule="exact"/>
        <w:rPr>
          <w:sz w:val="20"/>
          <w:szCs w:val="20"/>
          <w:color w:val="auto"/>
        </w:rPr>
      </w:pPr>
    </w:p>
    <w:p>
      <w:pPr>
        <w:ind w:left="1540" w:right="439" w:firstLine="328"/>
        <w:spacing w:after="0" w:line="254" w:lineRule="auto"/>
        <w:rPr>
          <w:sz w:val="20"/>
          <w:szCs w:val="20"/>
          <w:color w:val="auto"/>
        </w:rPr>
      </w:pPr>
      <w:r>
        <w:rPr>
          <w:rFonts w:ascii="Times New Roman" w:cs="Times New Roman" w:eastAsia="Times New Roman" w:hAnsi="Times New Roman"/>
          <w:sz w:val="14"/>
          <w:szCs w:val="14"/>
          <w:color w:val="auto"/>
        </w:rPr>
        <w:t>The combination of our expansive product portfolio and our differentiated supply chain creates a force multiplier for our business. Our Medline Brand segment offers approximately 190,000 products, including those manufactured in our 30 facilities, as well as those sourced from our more than 600 global partners. Our Supply Chain Solutions segment offers approximately 145,000 third-party products and provides customized supply chain optimization services. Our entire product portfolio across our segments is supported by differentiated logistics capabilities and a dedicated and tenured U.S. commercial team of approximately 4,000 people. These capabilities and our compelling value proposition allow us to serve as a long-term strategic partner to our customers and expand the scope of our relationships over time.</w:t>
      </w:r>
    </w:p>
    <w:p>
      <w:pPr>
        <w:spacing w:after="0" w:line="142" w:lineRule="exact"/>
        <w:rPr>
          <w:sz w:val="20"/>
          <w:szCs w:val="20"/>
          <w:color w:val="auto"/>
        </w:rPr>
      </w:pPr>
    </w:p>
    <w:p>
      <w:pPr>
        <w:ind w:left="1540" w:right="419" w:firstLine="328"/>
        <w:spacing w:after="0" w:line="274" w:lineRule="auto"/>
        <w:rPr>
          <w:sz w:val="20"/>
          <w:szCs w:val="20"/>
          <w:color w:val="auto"/>
        </w:rPr>
      </w:pPr>
      <w:r>
        <w:rPr>
          <w:rFonts w:ascii="Times New Roman" w:cs="Times New Roman" w:eastAsia="Times New Roman" w:hAnsi="Times New Roman"/>
          <w:sz w:val="13"/>
          <w:szCs w:val="13"/>
          <w:color w:val="auto"/>
        </w:rPr>
        <w:t>Our Prime Vendor relationships demonstrate our role as a trusted partner to our customers. In these relationships, we enter into long-term agreements to act as the consolidated distributor and logistics provider for these customers’ med-surg product needs. These partnerships give us visibility into our customers’ purchasing behaviors and demand dynamics, which allows us to anticipate their needs and deliver industry-leading service levels. As these relationships mature, we believe customers increasingly choose Medline Brand products for their superior value. Our Prime Vendor model is reinforced by the flywheel effect within our business where we drive cost savings for Prime Vendor customers, which, over time, supports incremental purchasing of our Medline Brand products and increases our scale. This dynamic allows us to drive further efficiencies by offering superior or similar quality to third-party products at a more cost-effective price. Due to the higher margin we earn on Medline Brand products compared to sales of comparable third-party products, we are able to reinvest in customer value while increasing our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159"/>
          </w:cols>
          <w:pgMar w:left="300" w:top="383"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36703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393690" cy="3670300"/>
                    </a:xfrm>
                    <a:prstGeom prst="rect">
                      <a:avLst/>
                    </a:prstGeom>
                    <a:noFill/>
                  </pic:spPr>
                </pic:pic>
              </a:graphicData>
            </a:graphic>
          </wp:anchor>
        </w:drawing>
      </w:r>
    </w:p>
    <w:p>
      <w:pPr>
        <w:spacing w:after="0" w:line="362" w:lineRule="exact"/>
        <w:rPr>
          <w:sz w:val="20"/>
          <w:szCs w:val="20"/>
          <w:color w:val="auto"/>
        </w:rPr>
      </w:pPr>
    </w:p>
    <w:p>
      <w:pPr>
        <w:ind w:left="1540" w:right="439" w:firstLine="328"/>
        <w:spacing w:after="0" w:line="254" w:lineRule="auto"/>
        <w:rPr>
          <w:sz w:val="20"/>
          <w:szCs w:val="20"/>
          <w:color w:val="auto"/>
        </w:rPr>
      </w:pPr>
      <w:r>
        <w:rPr>
          <w:rFonts w:ascii="Times New Roman" w:cs="Times New Roman" w:eastAsia="Times New Roman" w:hAnsi="Times New Roman"/>
          <w:sz w:val="14"/>
          <w:szCs w:val="14"/>
          <w:color w:val="auto"/>
        </w:rPr>
        <w:t>Since our founding, we have invested in building a unique customer-centric culture with an entrepreneurial spirit. Our employees are committed to deeply understanding how our customers operate, what challenges they face, and how Medline can better support them. They also understand that relationships are rooted in trust and that we must earn the right to serve our customers every day. We focus on problem solving across the continuum of care and we deploy a team of dedicated customer success representatives to learn the complex needs of our customers. Our creative and collaborative culture consistently earns Medline recognition as a preferred employer, including Newsweek’s Greatest Workplaces, Forbes’ America’s Best Large Employers, and a Chicago Tribune Top Workplace.</w:t>
      </w:r>
    </w:p>
    <w:p>
      <w:pPr>
        <w:spacing w:after="0" w:line="142" w:lineRule="exact"/>
        <w:rPr>
          <w:sz w:val="20"/>
          <w:szCs w:val="20"/>
          <w:color w:val="auto"/>
        </w:rPr>
      </w:pPr>
    </w:p>
    <w:p>
      <w:pPr>
        <w:ind w:left="1540" w:right="439" w:firstLine="328"/>
        <w:spacing w:after="0" w:line="254" w:lineRule="auto"/>
        <w:rPr>
          <w:sz w:val="20"/>
          <w:szCs w:val="20"/>
          <w:color w:val="auto"/>
        </w:rPr>
      </w:pPr>
      <w:r>
        <w:rPr>
          <w:rFonts w:ascii="Times New Roman" w:cs="Times New Roman" w:eastAsia="Times New Roman" w:hAnsi="Times New Roman"/>
          <w:sz w:val="14"/>
          <w:szCs w:val="14"/>
          <w:color w:val="auto"/>
        </w:rPr>
        <w:t>We have grown our net sales every year by retaining existing customers while gaining share with new and existing customers, with CAGRs of 18% since our founding and approximately 13% over the past 10 years. Notably, nearly 90% of our growth during the past 10 years has been organic. Our product portfolio predominantly consists of consumables, such that approximately 90% of our Medline Brand net sales were recurring for the year ended December 31, 2025. Our business is uniquely resilient during market downturns, as evidenced by our growth through every recession since our founding and during global healthcare crises. For example, our net sales grew at approximately 17% during the 2008-2009 financial crisis and at approximately 11% CAGR during the 2020-2022 COVID-19 pandemic.</w:t>
      </w:r>
    </w:p>
    <w:p>
      <w:pPr>
        <w:spacing w:after="0" w:line="142" w:lineRule="exact"/>
        <w:rPr>
          <w:sz w:val="20"/>
          <w:szCs w:val="20"/>
          <w:color w:val="auto"/>
        </w:rPr>
      </w:pPr>
    </w:p>
    <w:p>
      <w:pPr>
        <w:ind w:left="1540" w:right="479" w:firstLine="328"/>
        <w:spacing w:after="0" w:line="255" w:lineRule="auto"/>
        <w:rPr>
          <w:sz w:val="20"/>
          <w:szCs w:val="20"/>
          <w:color w:val="auto"/>
        </w:rPr>
      </w:pPr>
      <w:r>
        <w:rPr>
          <w:rFonts w:ascii="Times New Roman" w:cs="Times New Roman" w:eastAsia="Times New Roman" w:hAnsi="Times New Roman"/>
          <w:sz w:val="14"/>
          <w:szCs w:val="14"/>
          <w:color w:val="auto"/>
        </w:rPr>
        <w:t>Not only does our business have a strong track record of results, but we also see significant runway for future sales and earnings growth. We are positioned to grow with our customers as healthcare utilization increases, as they build and acquire new sites, and as they further consolidate med-surg spend with Medline. In addition, we intend to further extend our leading position by adding new Prime Vendor relationships, increasing the number of non-Prime Vendor customers that choose Medline Brand, continuing our channel expansion, developing new products, executing on selective M&amp;A opportunities, and scaling our international footprint.</w:t>
      </w:r>
    </w:p>
    <w:p>
      <w:pPr>
        <w:spacing w:after="0" w:line="14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For the three months ended March 28, 2026, we generated net sales of $7.4 billion, net income of $0.2 billion, and Adjusted EBITDA of</w:t>
      </w:r>
    </w:p>
    <w:p>
      <w:pPr>
        <w:spacing w:after="0" w:line="2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color w:val="auto"/>
        </w:rPr>
        <w:t>$0.8 billion, representing a net income margin of 3.3% and an Adjusted EBITDA Margin of 10.6%. During that period, 47.1% of total net sales and</w:t>
      </w:r>
    </w:p>
    <w:p>
      <w:pPr>
        <w:spacing w:after="0" w:line="1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80.4% of Segment Adjusted EBITDA were generated from our Medline Brand segment, while 52.9% of total net sales and 19.6% of Segment</w:t>
      </w:r>
    </w:p>
    <w:p>
      <w:pPr>
        <w:spacing w:after="0" w:line="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Adjusted EBITDA were generated from our Supply Chain Solutions segment. For the year ended December 31, 2025, we generated net sales of</w:t>
      </w:r>
    </w:p>
    <w:p>
      <w:pPr>
        <w:spacing w:after="0" w:line="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$28.4 billion, net income of $1.2 billion, and Adjusted EBITDA of $3.5 billion, representing a net income margin of 4.1% and an Adjusted</w:t>
      </w:r>
    </w:p>
    <w:p>
      <w:pPr>
        <w:spacing w:after="0" w:line="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EBITDA Margin of 12.2%. During that period, 48.3% of total net sales and 80.6% of Segment Adjusted EBITDA were generated from our</w:t>
      </w:r>
    </w:p>
    <w:p>
      <w:pPr>
        <w:spacing w:after="0" w:line="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color w:val="auto"/>
        </w:rPr>
        <w:t>Medline Brand segment, while 51.7% of total net sales and 19.4% of Segment Adjusted EBITDA were generated from our Supply Chain Solutions</w:t>
      </w:r>
    </w:p>
    <w:p>
      <w:pPr>
        <w:spacing w:after="0" w:line="1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segment. For a reconciliation of Adjusted EBITDA and Adjusted EBITDA Margin to the most directly comparable financial measures that are</w:t>
      </w:r>
    </w:p>
    <w:p>
      <w:pPr>
        <w:spacing w:after="0" w:line="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presented in accordance with generally accepted accounting principles in the United States (“GAAP”), information about why we consider</w:t>
      </w:r>
    </w:p>
    <w:p>
      <w:pPr>
        <w:spacing w:after="0" w:line="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Adjusted EBITDA and Adjusted EBITDA Margin useful, and a discussion of the material risks and limitations of these measures, see “Part I—</w:t>
      </w:r>
    </w:p>
    <w:p>
      <w:pPr>
        <w:spacing w:after="0" w:line="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Item 2—Management’s Discussion and Analysis of Financial Condition and Results of Operations—Non-GAAP Financial Information” in our</w:t>
      </w:r>
    </w:p>
    <w:p>
      <w:pPr>
        <w:spacing w:after="0" w:line="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2026 Q1 Form 10-Q and “Part II—Item 7—Management’s Discussion and Analysis of Financial Condition and Results of</w:t>
      </w:r>
    </w:p>
    <w:p>
      <w:pPr>
        <w:spacing w:after="0" w:line="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Operations—Non-GAAP Financial Information” in our 2025 Form 10-K, in each case incorporated by reference in this prospectus.</w:t>
      </w:r>
    </w:p>
    <w:p>
      <w:pPr>
        <w:spacing w:after="0" w:line="25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159"/>
          </w:cols>
          <w:pgMar w:left="300" w:top="383"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520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93690" cy="5208905"/>
                    </a:xfrm>
                    <a:prstGeom prst="rect">
                      <a:avLst/>
                    </a:prstGeom>
                    <a:noFill/>
                  </pic:spPr>
                </pic:pic>
              </a:graphicData>
            </a:graphic>
          </wp:anchor>
        </w:drawing>
      </w:r>
    </w:p>
    <w:p>
      <w:pPr>
        <w:spacing w:after="0" w:line="36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Who We Are</w:t>
      </w:r>
    </w:p>
    <w:p>
      <w:pPr>
        <w:spacing w:after="0" w:line="174" w:lineRule="exact"/>
        <w:rPr>
          <w:sz w:val="20"/>
          <w:szCs w:val="20"/>
          <w:color w:val="auto"/>
        </w:rPr>
      </w:pPr>
    </w:p>
    <w:p>
      <w:pPr>
        <w:ind w:left="1540" w:right="439" w:firstLine="328"/>
        <w:spacing w:after="0" w:line="318" w:lineRule="auto"/>
        <w:rPr>
          <w:sz w:val="20"/>
          <w:szCs w:val="20"/>
          <w:color w:val="auto"/>
        </w:rPr>
      </w:pPr>
      <w:r>
        <w:rPr>
          <w:rFonts w:ascii="Times New Roman" w:cs="Times New Roman" w:eastAsia="Times New Roman" w:hAnsi="Times New Roman"/>
          <w:sz w:val="13"/>
          <w:szCs w:val="13"/>
          <w:color w:val="auto"/>
        </w:rPr>
        <w:t>The combination of our Medline Brand and Supply Chain Solutions segments addresses critical needs in the market through a comprehensive solution. Both segments are supported by our Prime Vendor model, differentiated distribution network, and robust commercial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1540" w:right="559" w:firstLine="328"/>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Medline Brand</w:t>
      </w:r>
      <w:r>
        <w:rPr>
          <w:rFonts w:ascii="Times New Roman" w:cs="Times New Roman" w:eastAsia="Times New Roman" w:hAnsi="Times New Roman"/>
          <w:sz w:val="14"/>
          <w:szCs w:val="14"/>
          <w:color w:val="auto"/>
        </w:rPr>
        <w:t>. We offer our customers approximately 190,000 med-surg products through our Medline Brand segment. We have leading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positions across many key product families within the approximately $75 billion serviceable addressable market (“SAM”) for our Medline Brand products. See “Market and Industry Data” for how we define our SAM. Our Medline Brand products are organized into three product categories: Front Line Care, Surgical Solutions, and Laboratory and Diagnostics.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540" w:right="659" w:firstLine="328"/>
        <w:spacing w:after="0" w:line="258" w:lineRule="auto"/>
        <w:rPr>
          <w:sz w:val="20"/>
          <w:szCs w:val="20"/>
          <w:color w:val="auto"/>
        </w:rPr>
      </w:pPr>
      <w:r>
        <w:rPr>
          <w:rFonts w:ascii="Times New Roman" w:cs="Times New Roman" w:eastAsia="Times New Roman" w:hAnsi="Times New Roman"/>
          <w:sz w:val="14"/>
          <w:szCs w:val="14"/>
          <w:color w:val="auto"/>
        </w:rPr>
        <w:t>We produce approximately one-third of Medline Brand products, which are primarily Class I and II medical devices, through our 30 manufacturing facilities, of which 24 are in North America. We focus our manufacturing capabilities on products where we can leverage technology and automation to drive higher quality and lower costs to better serve our customers. For the vast majority of the other two-thirds of Medline Brand products, we utilize a network of more than 600 global partners across a diversified set of approximately 40 countries, with</w:t>
      </w:r>
    </w:p>
    <w:p>
      <w:pPr>
        <w:spacing w:after="0" w:line="23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159"/>
          </w:cols>
          <w:pgMar w:left="300" w:top="383"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43046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393690" cy="4304665"/>
                    </a:xfrm>
                    <a:prstGeom prst="rect">
                      <a:avLst/>
                    </a:prstGeom>
                    <a:noFill/>
                  </pic:spPr>
                </pic:pic>
              </a:graphicData>
            </a:graphic>
          </wp:anchor>
        </w:drawing>
      </w:r>
    </w:p>
    <w:p>
      <w:pPr>
        <w:spacing w:after="0" w:line="362" w:lineRule="exact"/>
        <w:rPr>
          <w:sz w:val="20"/>
          <w:szCs w:val="20"/>
          <w:color w:val="auto"/>
        </w:rPr>
      </w:pPr>
    </w:p>
    <w:p>
      <w:pPr>
        <w:ind w:left="1540" w:right="419"/>
        <w:spacing w:after="0" w:line="255" w:lineRule="auto"/>
        <w:rPr>
          <w:sz w:val="20"/>
          <w:szCs w:val="20"/>
          <w:color w:val="auto"/>
        </w:rPr>
      </w:pPr>
      <w:r>
        <w:rPr>
          <w:rFonts w:ascii="Times New Roman" w:cs="Times New Roman" w:eastAsia="Times New Roman" w:hAnsi="Times New Roman"/>
          <w:sz w:val="14"/>
          <w:szCs w:val="14"/>
          <w:color w:val="auto"/>
        </w:rPr>
        <w:t>more than 300 of these relationships being exclusive to us. Our relationships with these Medline Brand partners are exceptionally strong, with some originating nearly 30 years ago. The breadth of our partnerships also provides global diversification and strengthens our resiliency, with no single sourcing partner accounting for more than 5% of total spend as of December 31, 2025. Taken together, our self-manufacturing capabilities and differentiated global sourcing relationships result in high-quality products while allowing us to manage costs. This network also enables us to achieve a highly efficient and geographically diversified supply base, which ensures our resiliency during market disruptions.</w:t>
      </w:r>
    </w:p>
    <w:p>
      <w:pPr>
        <w:spacing w:after="0" w:line="143" w:lineRule="exact"/>
        <w:rPr>
          <w:sz w:val="20"/>
          <w:szCs w:val="20"/>
          <w:color w:val="auto"/>
        </w:rPr>
      </w:pPr>
    </w:p>
    <w:p>
      <w:pPr>
        <w:ind w:left="1540" w:right="519" w:firstLine="328"/>
        <w:spacing w:after="0" w:line="258" w:lineRule="auto"/>
        <w:rPr>
          <w:sz w:val="20"/>
          <w:szCs w:val="20"/>
          <w:color w:val="auto"/>
        </w:rPr>
      </w:pPr>
      <w:r>
        <w:rPr>
          <w:rFonts w:ascii="Times New Roman" w:cs="Times New Roman" w:eastAsia="Times New Roman" w:hAnsi="Times New Roman"/>
          <w:sz w:val="14"/>
          <w:szCs w:val="14"/>
          <w:color w:val="auto"/>
        </w:rPr>
        <w:t>Our ability to identify and address customer needs through the introduction of new products was honed over decades of feedback from customers. Challenging our team to listen intently to customers’ pain points and thoughtfully craft product innovation solutions has been a critical growth lever and retention driver for our business. The execution of this model is core to our strategy—we have successfully launched more than 250 new products over the last three years and will continue to innovate as a trusted thought partner to our customer base.</w:t>
      </w:r>
    </w:p>
    <w:p>
      <w:pPr>
        <w:spacing w:after="0" w:line="140" w:lineRule="exact"/>
        <w:rPr>
          <w:sz w:val="20"/>
          <w:szCs w:val="20"/>
          <w:color w:val="auto"/>
        </w:rPr>
      </w:pPr>
    </w:p>
    <w:p>
      <w:pPr>
        <w:ind w:left="1540" w:right="499" w:firstLine="328"/>
        <w:spacing w:after="0" w:line="263" w:lineRule="auto"/>
        <w:rPr>
          <w:sz w:val="20"/>
          <w:szCs w:val="20"/>
          <w:color w:val="auto"/>
        </w:rPr>
      </w:pPr>
      <w:r>
        <w:rPr>
          <w:rFonts w:ascii="Times New Roman" w:cs="Times New Roman" w:eastAsia="Times New Roman" w:hAnsi="Times New Roman"/>
          <w:sz w:val="14"/>
          <w:szCs w:val="14"/>
          <w:color w:val="auto"/>
        </w:rPr>
        <w:t>We are committed to delivering products of the highest standard, which is reflected by our robust quality team of over 2,700 employees. Our quality control team is integrated and embedded across our manufacturing and sourcing locations. Their expertise ensures that every product bearing the Medline brand meets both our rigorous quality standards and our customers’ expectations.</w:t>
      </w:r>
    </w:p>
    <w:p>
      <w:pPr>
        <w:spacing w:after="0" w:line="136" w:lineRule="exact"/>
        <w:rPr>
          <w:sz w:val="20"/>
          <w:szCs w:val="20"/>
          <w:color w:val="auto"/>
        </w:rPr>
      </w:pPr>
    </w:p>
    <w:p>
      <w:pPr>
        <w:ind w:left="1540" w:right="539" w:firstLine="328"/>
        <w:spacing w:after="0" w:line="258" w:lineRule="auto"/>
        <w:rPr>
          <w:sz w:val="20"/>
          <w:szCs w:val="20"/>
          <w:color w:val="auto"/>
        </w:rPr>
      </w:pPr>
      <w:r>
        <w:rPr>
          <w:rFonts w:ascii="Times New Roman" w:cs="Times New Roman" w:eastAsia="Times New Roman" w:hAnsi="Times New Roman"/>
          <w:sz w:val="14"/>
          <w:szCs w:val="14"/>
          <w:color w:val="auto"/>
        </w:rPr>
        <w:t>Our combination of value, quality, and service has allowed our Medline Brand products to hold the leading position across many of our key product families. Furthermore, we generated $1.3 billion of Medline Brand net sales for fiscal year 2025 through other distributors. These relationships allow us to highlight the value proposition of our Medline Brand and distribution network, which over time creates opportunities to earn Prime Vendor agreements for those customers.</w:t>
      </w:r>
    </w:p>
    <w:p>
      <w:pPr>
        <w:spacing w:after="0" w:line="138" w:lineRule="exact"/>
        <w:rPr>
          <w:sz w:val="20"/>
          <w:szCs w:val="20"/>
          <w:color w:val="auto"/>
        </w:rPr>
      </w:pPr>
    </w:p>
    <w:p>
      <w:pPr>
        <w:ind w:left="1540" w:right="419" w:firstLine="328"/>
        <w:spacing w:after="0" w:line="253" w:lineRule="auto"/>
        <w:rPr>
          <w:sz w:val="20"/>
          <w:szCs w:val="20"/>
          <w:color w:val="auto"/>
        </w:rPr>
      </w:pPr>
      <w:r>
        <w:rPr>
          <w:rFonts w:ascii="Times New Roman" w:cs="Times New Roman" w:eastAsia="Times New Roman" w:hAnsi="Times New Roman"/>
          <w:sz w:val="14"/>
          <w:szCs w:val="14"/>
          <w:b w:val="1"/>
          <w:bCs w:val="1"/>
          <w:i w:val="1"/>
          <w:iCs w:val="1"/>
          <w:color w:val="auto"/>
        </w:rPr>
        <w:t xml:space="preserve">Supply Chain Solutions. </w:t>
      </w:r>
      <w:r>
        <w:rPr>
          <w:rFonts w:ascii="Times New Roman" w:cs="Times New Roman" w:eastAsia="Times New Roman" w:hAnsi="Times New Roman"/>
          <w:sz w:val="14"/>
          <w:szCs w:val="14"/>
          <w:color w:val="auto"/>
        </w:rPr>
        <w:t>We offer approximately 145,000 med-surg products from over 1,300 third-party suppliers, including nearly all</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leading national brands, through our Supply Chain Solutions segment. As a scaled service provider that sells and delivers to the entire continuum of care, Medline is a highly desirable partner to these brands. We also provide our customers with supply chain optimization services such as consulting engagements, outsourced warehouse and technology management, put-away-ready packaging, third-party logistics, inventory rationalization, and route planning. Supply Chain Solutions contracts include contractual distributor mark-ups, which may differ by customer agreement. Our supply chain expertise allows us to provide additional service offerings to optimize our customers’ supply chain and inventory workflows, helping these customers cost-effectively manage their supply chain while building strong relationships and enhancing retention.</w:t>
      </w:r>
    </w:p>
    <w:p>
      <w:pPr>
        <w:spacing w:after="0" w:line="145" w:lineRule="exact"/>
        <w:rPr>
          <w:sz w:val="20"/>
          <w:szCs w:val="20"/>
          <w:color w:val="auto"/>
        </w:rPr>
      </w:pPr>
    </w:p>
    <w:p>
      <w:pPr>
        <w:ind w:left="1540" w:right="519" w:firstLine="328"/>
        <w:spacing w:after="0" w:line="258" w:lineRule="auto"/>
        <w:rPr>
          <w:sz w:val="20"/>
          <w:szCs w:val="20"/>
          <w:color w:val="auto"/>
        </w:rPr>
      </w:pPr>
      <w:r>
        <w:rPr>
          <w:rFonts w:ascii="Times New Roman" w:cs="Times New Roman" w:eastAsia="Times New Roman" w:hAnsi="Times New Roman"/>
          <w:sz w:val="14"/>
          <w:szCs w:val="14"/>
          <w:color w:val="auto"/>
        </w:rPr>
        <w:t>Additionally, we continue to bolster our supply chain offerings to better serve our customers. For example, in October 2024 we announced a partnership with Microsoft to design an innovative healthcare supply chain resiliency solution, leveraging artificial intelligence (“AI”)–generated insights to provide integrated inventory management. This will combine customer and supplier data to develop better insights into customer purchasing patterns and optimize service levels, among other capabilities.</w:t>
      </w:r>
    </w:p>
    <w:p>
      <w:pPr>
        <w:spacing w:after="0" w:line="138" w:lineRule="exact"/>
        <w:rPr>
          <w:sz w:val="20"/>
          <w:szCs w:val="20"/>
          <w:color w:val="auto"/>
        </w:rPr>
      </w:pPr>
    </w:p>
    <w:p>
      <w:pPr>
        <w:ind w:left="1540" w:right="459" w:firstLine="328"/>
        <w:spacing w:after="0" w:line="254" w:lineRule="auto"/>
        <w:rPr>
          <w:sz w:val="20"/>
          <w:szCs w:val="20"/>
          <w:color w:val="auto"/>
        </w:rPr>
      </w:pPr>
      <w:r>
        <w:rPr>
          <w:rFonts w:ascii="Times New Roman" w:cs="Times New Roman" w:eastAsia="Times New Roman" w:hAnsi="Times New Roman"/>
          <w:sz w:val="14"/>
          <w:szCs w:val="14"/>
          <w:b w:val="1"/>
          <w:bCs w:val="1"/>
          <w:i w:val="1"/>
          <w:iCs w:val="1"/>
          <w:color w:val="auto"/>
        </w:rPr>
        <w:t xml:space="preserve">Our Prime Vendor Model. </w:t>
      </w:r>
      <w:r>
        <w:rPr>
          <w:rFonts w:ascii="Times New Roman" w:cs="Times New Roman" w:eastAsia="Times New Roman" w:hAnsi="Times New Roman"/>
          <w:sz w:val="14"/>
          <w:szCs w:val="14"/>
          <w:color w:val="auto"/>
        </w:rPr>
        <w:t>In our Prime Vendor relationships, we enter into long-term agreements, typically structured with five-year terms,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to act as the primary consolidated logistics partner for these customers’ med-surg product needs. These agreements have been and will continue to be a key contributor to our growth. Our customers realize efficiencies by partnering with one supply chain partner to consolidate their med-surg purchase volume. Prior to the market adoption of the Prime Vendor model, customers sourced such products individually from a highly fragmented base of suppliers. The Prime Vendor model instead centralizes procurement and distribution, which in turn drives efficiency and higher service levels.</w:t>
      </w:r>
    </w:p>
    <w:p>
      <w:pPr>
        <w:spacing w:after="0" w:line="23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0159"/>
          </w:cols>
          <w:pgMar w:left="300" w:top="383"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3353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93690" cy="3353435"/>
                    </a:xfrm>
                    <a:prstGeom prst="rect">
                      <a:avLst/>
                    </a:prstGeom>
                    <a:noFill/>
                  </pic:spPr>
                </pic:pic>
              </a:graphicData>
            </a:graphic>
          </wp:anchor>
        </w:drawing>
      </w:r>
    </w:p>
    <w:p>
      <w:pPr>
        <w:spacing w:after="0" w:line="362" w:lineRule="exact"/>
        <w:rPr>
          <w:sz w:val="20"/>
          <w:szCs w:val="20"/>
          <w:color w:val="auto"/>
        </w:rPr>
      </w:pPr>
    </w:p>
    <w:p>
      <w:pPr>
        <w:ind w:left="1540" w:right="419" w:firstLine="328"/>
        <w:spacing w:after="0" w:line="251" w:lineRule="auto"/>
        <w:rPr>
          <w:sz w:val="20"/>
          <w:szCs w:val="20"/>
          <w:color w:val="auto"/>
        </w:rPr>
      </w:pPr>
      <w:r>
        <w:rPr>
          <w:rFonts w:ascii="Times New Roman" w:cs="Times New Roman" w:eastAsia="Times New Roman" w:hAnsi="Times New Roman"/>
          <w:sz w:val="14"/>
          <w:szCs w:val="14"/>
          <w:color w:val="auto"/>
        </w:rPr>
        <w:t>As Prime Vendor, we drive significant cost savings to our customers. Our scale allows us to deliver consistently lower prices and better service levels on Medline Brand products relative to third-party alternatives, while also lowering the distribution cost for delivery of the full range of med-surg products. This often motivates customers to purchase more Medline Brand products over time. For example, in the acute care sector, at the beginning of a Prime Vendor relationship, Medline Brand products typically represent approximately 10% of a customer’s product mix but has the potential to reach approximately 60% Medline Brand over time. The opportunity is even greater in certain non-acute settings, where we sell a more focused product portfolio. Our Prime Vendor model is reinforced by the flywheel effect within our business where we drive cost savings for Prime Vendor customers, which, over time, supports incremental purchasing of our Medline Brand products and increases our scale. This dynamic allows us to drive further efficiencies by offering superior or similar quality to third-party products at a more cost-effective price. Due to the higher margin we earn on Medline Brand products compared to sales of comparable third-party products, we are able to reinvest in customer value while increasing our profitability. This compelling value proposition and supply chain relationship with our customers supports our greater than 98% average Prime Vendor retention rate over the past five years.</w:t>
      </w:r>
    </w:p>
    <w:p>
      <w:pPr>
        <w:spacing w:after="0" w:line="144" w:lineRule="exact"/>
        <w:rPr>
          <w:sz w:val="20"/>
          <w:szCs w:val="20"/>
          <w:color w:val="auto"/>
        </w:rPr>
      </w:pPr>
    </w:p>
    <w:p>
      <w:pPr>
        <w:ind w:left="1540" w:right="439" w:firstLine="328"/>
        <w:spacing w:after="0" w:line="249" w:lineRule="auto"/>
        <w:rPr>
          <w:sz w:val="20"/>
          <w:szCs w:val="20"/>
          <w:color w:val="auto"/>
        </w:rPr>
      </w:pPr>
      <w:r>
        <w:rPr>
          <w:rFonts w:ascii="Times New Roman" w:cs="Times New Roman" w:eastAsia="Times New Roman" w:hAnsi="Times New Roman"/>
          <w:sz w:val="14"/>
          <w:szCs w:val="14"/>
          <w:color w:val="auto"/>
        </w:rPr>
        <w:t>Our differentiated capabilities have enabled us to grow and scale our Prime Vendor model over time. Over just the past six years, we have signed new Prime Vendor agreements representing approximately $8 billion of annual contract value and have over 1,600 Prime Vendor relationships as of December 31, 2025, representing $18.0 billion of net sales for the year ended December 31, 2025. Our Prime Vendor relationships, combined with our strong customer retention, supports a highly recurring business model. Today, our Prime Vendor agreements have an approximate average mix of 65% Supply Chain Solutions and 35% Medline Brand, presenting a significant opportunity to drive customer savings through further Medline Brand adoption in the years ahead. Supply Chain Solutions products for which like-for-like Medline Brand products are available represented approximately $5.0 billion in net sales to existing Prime Vendor customers as of December 31, 2025. Assuming historical margins, if 100% of such products were converted to available like-for-like Medline Brand products, the incremental gross profit opportunity associated with such conversion would be approximately $1.3 billion. Conversion of 100% of this opportunity is not immediately achievable, and we cannot provide any assurance regarding the timing or extent of any such conversions. While we historically have earned higher margins upon conversion from third-party national brand products to like-for-like Medline Brand products, because of the lower average prices for Medline Brand products, there is typically a negative impact on net sales upon the conversion of Supply Chain Solutions products to like-for-like Medline Brand products if volume is assumed to be constant. We believe that the average margins for Supply Chain Solutions products converted to Medline Brand products have not significantly differed from those that have not been converted. Similarly, the average margins of products converted to Medline Brand do not vary materially from their unconverted counterparts. Therefore, we assume our historical estimates will continue with future conversions. For further information on potential risks relating to this conversion opportunity, please refer to “Part I—Item 1A —Risk Factors—Risks Related to Our Business, Industry and Operations—Our failure to establish and maintain Prime Vendor relationships may cause our revenue to decline” in our 2025 Form 10-K incorporated by reference in this prospectus.</w:t>
      </w:r>
    </w:p>
    <w:p>
      <w:pPr>
        <w:spacing w:after="0" w:line="24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159"/>
          </w:cols>
          <w:pgMar w:left="300" w:top="383"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37496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393690" cy="3749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1"/>
          <w:szCs w:val="11"/>
          <w:i w:val="1"/>
          <w:iCs w:val="1"/>
          <w:color w:val="auto"/>
        </w:rPr>
        <w:t>Note: Data represents average Medline Brand net sales percentage mix across cohorts 2014 – 2023.</w:t>
      </w:r>
    </w:p>
    <w:p>
      <w:pPr>
        <w:spacing w:after="0" w:line="157" w:lineRule="exact"/>
        <w:rPr>
          <w:sz w:val="20"/>
          <w:szCs w:val="20"/>
          <w:color w:val="auto"/>
        </w:rPr>
      </w:pPr>
    </w:p>
    <w:p>
      <w:pPr>
        <w:ind w:left="1540" w:right="459" w:firstLine="328"/>
        <w:spacing w:after="0" w:line="251" w:lineRule="auto"/>
        <w:rPr>
          <w:sz w:val="20"/>
          <w:szCs w:val="20"/>
          <w:color w:val="auto"/>
        </w:rPr>
      </w:pPr>
      <w:r>
        <w:rPr>
          <w:rFonts w:ascii="Times New Roman" w:cs="Times New Roman" w:eastAsia="Times New Roman" w:hAnsi="Times New Roman"/>
          <w:sz w:val="14"/>
          <w:szCs w:val="14"/>
          <w:b w:val="1"/>
          <w:bCs w:val="1"/>
          <w:i w:val="1"/>
          <w:iCs w:val="1"/>
          <w:color w:val="auto"/>
        </w:rPr>
        <w:t xml:space="preserve">Our Distribution Network. </w:t>
      </w:r>
      <w:r>
        <w:rPr>
          <w:rFonts w:ascii="Times New Roman" w:cs="Times New Roman" w:eastAsia="Times New Roman" w:hAnsi="Times New Roman"/>
          <w:sz w:val="14"/>
          <w:szCs w:val="14"/>
          <w:color w:val="auto"/>
        </w:rPr>
        <w:t>We have a differentiated network of 70 global distribution centers, 45 of which are in the United States. Our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distribution centers are strategically located to provide next-day delivery to 95% of our U.S. customer base. With over 26 million square feet in the United States, they are expertly designed to optimize distribution logistics and maximize utilization. The products we distribute are packaged to meet each customer’s individual needs and to be “put-away-ready,” which streamlines the customer’s unloading and shelving process. We utilize AI and robotics technology in our distribution centers to drive efficiency and reduce costs. Our technologically advanced distribution centers allow us to extend cutoff times, expand our product offering, and better service our expanding customer base. We also operate our own fleet of more than 2,100 MedTrans trucks that deliver our products across care settings within the United States. Our $4.8 billion of global inventory as of December 31, 2025, and our market-leading supply chain capabilities drive our ability to fulfill customer orders with service levels of 99% and support our high customer satisfaction levels. Over the last five years, we have invested $1.4 billion in total capital expenditures within our distribution network. As of December 31, 2025, we had approximately 25% in excess capacity across our platform to support our long-term growth.</w:t>
      </w:r>
    </w:p>
    <w:p>
      <w:pPr>
        <w:spacing w:after="0" w:line="24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0159"/>
          </w:cols>
          <w:pgMar w:left="300" w:top="383"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4991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393690" cy="4991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540" w:right="419" w:firstLine="328"/>
        <w:spacing w:after="0" w:line="252" w:lineRule="auto"/>
        <w:rPr>
          <w:sz w:val="20"/>
          <w:szCs w:val="20"/>
          <w:color w:val="auto"/>
        </w:rPr>
      </w:pPr>
      <w:r>
        <w:rPr>
          <w:rFonts w:ascii="Times New Roman" w:cs="Times New Roman" w:eastAsia="Times New Roman" w:hAnsi="Times New Roman"/>
          <w:sz w:val="14"/>
          <w:szCs w:val="14"/>
          <w:b w:val="1"/>
          <w:bCs w:val="1"/>
          <w:i w:val="1"/>
          <w:iCs w:val="1"/>
          <w:color w:val="auto"/>
        </w:rPr>
        <w:t xml:space="preserve">Our Commercial Platform. </w:t>
      </w:r>
      <w:r>
        <w:rPr>
          <w:rFonts w:ascii="Times New Roman" w:cs="Times New Roman" w:eastAsia="Times New Roman" w:hAnsi="Times New Roman"/>
          <w:sz w:val="14"/>
          <w:szCs w:val="14"/>
          <w:color w:val="auto"/>
        </w:rPr>
        <w:t>Our deep connectivity to our customers is driven by the strength of our dedicated and tenured commercial team.</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We have a U.S. commercial team of approximately 4,000 people across all points of care, which includes account managers, product specialists, specialized clinical resources, customer service representatives, supply chain specialists, Prime Vendor analysts, and a robust leadership team dedicated to driving efficiencies for our customers through their teams. Our team prides themselves on their deep-rooted customer relationships and the value of their longstanding partnerships. We have created an entrepreneurial environment that empowers our salesforce to work with our product managers and innovate to meet market demand. We have a team devoted to each channel in the United States and each region or country internationally, which allows our salesforce teams to develop market-specific knowledge. Our differentiated customer-focused culture and salesforce empowerment have driven our strong U.S. salesforce retention rate of greater than 85% in 2025.</w:t>
      </w:r>
    </w:p>
    <w:p>
      <w:pPr>
        <w:spacing w:after="0" w:line="31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Our Market Opportunity</w:t>
      </w:r>
    </w:p>
    <w:p>
      <w:pPr>
        <w:spacing w:after="0" w:line="174" w:lineRule="exact"/>
        <w:rPr>
          <w:sz w:val="20"/>
          <w:szCs w:val="20"/>
          <w:color w:val="auto"/>
        </w:rPr>
      </w:pPr>
    </w:p>
    <w:p>
      <w:pPr>
        <w:ind w:left="1540" w:right="539" w:firstLine="328"/>
        <w:spacing w:after="0" w:line="284" w:lineRule="auto"/>
        <w:rPr>
          <w:sz w:val="20"/>
          <w:szCs w:val="20"/>
          <w:color w:val="auto"/>
        </w:rPr>
      </w:pPr>
      <w:r>
        <w:rPr>
          <w:rFonts w:ascii="Times New Roman" w:cs="Times New Roman" w:eastAsia="Times New Roman" w:hAnsi="Times New Roman"/>
          <w:sz w:val="13"/>
          <w:szCs w:val="13"/>
          <w:color w:val="auto"/>
        </w:rPr>
        <w:t>We estimate our total addressable market (“TAM”) to be approximately $375 billion globally. Of this amount, we estimate that the United States represents an approximately $175 billion opportunity, diversified across acute care and non-acute care (including but not limited to surgery centers, dental, animal health, physician offices, and post-acute care). We estimate that international markets represent an approximately $200 billion opportunity, diversified across acute care and non-acute care. See “Market and Industry Data” for how we define our TAM.</w:t>
      </w:r>
    </w:p>
    <w:p>
      <w:pPr>
        <w:spacing w:after="0" w:line="124" w:lineRule="exact"/>
        <w:rPr>
          <w:sz w:val="20"/>
          <w:szCs w:val="20"/>
          <w:color w:val="auto"/>
        </w:rPr>
      </w:pPr>
    </w:p>
    <w:p>
      <w:pPr>
        <w:jc w:val="both"/>
        <w:ind w:left="1540" w:right="679" w:firstLine="328"/>
        <w:spacing w:after="0" w:line="263" w:lineRule="auto"/>
        <w:rPr>
          <w:sz w:val="20"/>
          <w:szCs w:val="20"/>
          <w:color w:val="auto"/>
        </w:rPr>
      </w:pPr>
      <w:r>
        <w:rPr>
          <w:rFonts w:ascii="Times New Roman" w:cs="Times New Roman" w:eastAsia="Times New Roman" w:hAnsi="Times New Roman"/>
          <w:sz w:val="14"/>
          <w:szCs w:val="14"/>
          <w:color w:val="auto"/>
        </w:rPr>
        <w:t>Demand within the overall U.S. healthcare market is largely insulated from macroeconomic events and market cycles due to non-cyclical demand as evidenced by the fact that healthcare spending in the United States has increased every year for the past sixty years according to the Centers for Medicare &amp; Medicaid Services</w:t>
      </w:r>
    </w:p>
    <w:p>
      <w:pPr>
        <w:spacing w:after="0" w:line="23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0159"/>
          </w:cols>
          <w:pgMar w:left="300" w:top="383"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49447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393690" cy="4944745"/>
                    </a:xfrm>
                    <a:prstGeom prst="rect">
                      <a:avLst/>
                    </a:prstGeom>
                    <a:noFill/>
                  </pic:spPr>
                </pic:pic>
              </a:graphicData>
            </a:graphic>
          </wp:anchor>
        </w:drawing>
      </w:r>
    </w:p>
    <w:p>
      <w:pPr>
        <w:spacing w:after="0" w:line="362" w:lineRule="exact"/>
        <w:rPr>
          <w:sz w:val="20"/>
          <w:szCs w:val="20"/>
          <w:color w:val="auto"/>
        </w:rPr>
      </w:pPr>
    </w:p>
    <w:p>
      <w:pPr>
        <w:ind w:left="1540" w:right="459"/>
        <w:spacing w:after="0" w:line="258" w:lineRule="auto"/>
        <w:rPr>
          <w:sz w:val="20"/>
          <w:szCs w:val="20"/>
          <w:color w:val="auto"/>
        </w:rPr>
      </w:pPr>
      <w:r>
        <w:rPr>
          <w:rFonts w:ascii="Times New Roman" w:cs="Times New Roman" w:eastAsia="Times New Roman" w:hAnsi="Times New Roman"/>
          <w:sz w:val="14"/>
          <w:szCs w:val="14"/>
          <w:color w:val="auto"/>
        </w:rPr>
        <w:t>(“CMS”). We expect our market opportunity in the United States will grow over the long-term, driven by secular tailwinds including an aging population and the growing prevalence of chronic conditions, which are expected to drive elevated volumes and increased health expenditures over the long term. Due to these factors, national health expenditures are expected to outpace GDP growth at an annual growth rate of 5.6% from 2023 to 2032 according to CMS.</w:t>
      </w:r>
    </w:p>
    <w:p>
      <w:pPr>
        <w:spacing w:after="0" w:line="140" w:lineRule="exact"/>
        <w:rPr>
          <w:sz w:val="20"/>
          <w:szCs w:val="20"/>
          <w:color w:val="auto"/>
        </w:rPr>
      </w:pPr>
    </w:p>
    <w:p>
      <w:pPr>
        <w:ind w:left="1540" w:right="519" w:firstLine="328"/>
        <w:spacing w:after="0" w:line="278" w:lineRule="auto"/>
        <w:rPr>
          <w:sz w:val="20"/>
          <w:szCs w:val="20"/>
          <w:color w:val="auto"/>
        </w:rPr>
      </w:pPr>
      <w:r>
        <w:rPr>
          <w:rFonts w:ascii="Times New Roman" w:cs="Times New Roman" w:eastAsia="Times New Roman" w:hAnsi="Times New Roman"/>
          <w:sz w:val="14"/>
          <w:szCs w:val="14"/>
          <w:color w:val="auto"/>
        </w:rPr>
        <w:t>International markets also represent an attractive opportunity, as net sales outside of the United States represented only 6.9% of our total net sales for the year ended December 31, 2025.</w:t>
      </w:r>
    </w:p>
    <w:p>
      <w:pPr>
        <w:spacing w:after="0" w:line="12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Our market opportunity is enhanced by the following dynamics:</w:t>
      </w:r>
    </w:p>
    <w:p>
      <w:pPr>
        <w:spacing w:after="0" w:line="97" w:lineRule="exact"/>
        <w:rPr>
          <w:sz w:val="20"/>
          <w:szCs w:val="20"/>
          <w:color w:val="auto"/>
        </w:rPr>
      </w:pPr>
    </w:p>
    <w:p>
      <w:pPr>
        <w:ind w:left="2260" w:right="939" w:hanging="312"/>
        <w:spacing w:after="0" w:line="281" w:lineRule="auto"/>
        <w:tabs>
          <w:tab w:leader="none" w:pos="2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Margin Pressure Across End Markets: </w:t>
      </w:r>
      <w:r>
        <w:rPr>
          <w:rFonts w:ascii="Times New Roman" w:cs="Times New Roman" w:eastAsia="Times New Roman" w:hAnsi="Times New Roman"/>
          <w:sz w:val="14"/>
          <w:szCs w:val="14"/>
          <w:color w:val="auto"/>
        </w:rPr>
        <w:t>Hospitals generally operate at a low margin; given these dynamics, health systems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providers are heavily focused on mitigating costs and increasing the quality of care.</w:t>
      </w:r>
    </w:p>
    <w:p>
      <w:pPr>
        <w:spacing w:after="0" w:line="49" w:lineRule="exact"/>
        <w:rPr>
          <w:rFonts w:ascii="Times New Roman" w:cs="Times New Roman" w:eastAsia="Times New Roman" w:hAnsi="Times New Roman"/>
          <w:sz w:val="14"/>
          <w:szCs w:val="14"/>
          <w:color w:val="auto"/>
        </w:rPr>
      </w:pPr>
    </w:p>
    <w:p>
      <w:pPr>
        <w:ind w:left="2260" w:right="759" w:hanging="312"/>
        <w:spacing w:after="0" w:line="281" w:lineRule="auto"/>
        <w:tabs>
          <w:tab w:leader="none" w:pos="2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Shift in Volumes Outside of the Hospital: </w:t>
      </w:r>
      <w:r>
        <w:rPr>
          <w:rFonts w:ascii="Times New Roman" w:cs="Times New Roman" w:eastAsia="Times New Roman" w:hAnsi="Times New Roman"/>
          <w:sz w:val="14"/>
          <w:szCs w:val="14"/>
          <w:color w:val="auto"/>
        </w:rPr>
        <w:t>As overall healthcare utilization increases, higher acuity procedures continue to shift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lower-cost sites of care, such as surgery centers and physician offices.</w:t>
      </w:r>
    </w:p>
    <w:p>
      <w:pPr>
        <w:spacing w:after="0" w:line="49" w:lineRule="exact"/>
        <w:rPr>
          <w:rFonts w:ascii="Times New Roman" w:cs="Times New Roman" w:eastAsia="Times New Roman" w:hAnsi="Times New Roman"/>
          <w:sz w:val="14"/>
          <w:szCs w:val="14"/>
          <w:color w:val="auto"/>
        </w:rPr>
      </w:pPr>
    </w:p>
    <w:p>
      <w:pPr>
        <w:ind w:left="2260" w:right="659" w:hanging="312"/>
        <w:spacing w:after="0" w:line="281" w:lineRule="auto"/>
        <w:tabs>
          <w:tab w:leader="none" w:pos="2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Healthcare Consolidation: </w:t>
      </w:r>
      <w:r>
        <w:rPr>
          <w:rFonts w:ascii="Times New Roman" w:cs="Times New Roman" w:eastAsia="Times New Roman" w:hAnsi="Times New Roman"/>
          <w:sz w:val="14"/>
          <w:szCs w:val="14"/>
          <w:color w:val="auto"/>
        </w:rPr>
        <w:t>Consolidation activity is expected to continue, as hospitals combine to drive scale and create integrated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models to serve the continuum of care.</w:t>
      </w:r>
    </w:p>
    <w:p>
      <w:pPr>
        <w:spacing w:after="0" w:line="49" w:lineRule="exact"/>
        <w:rPr>
          <w:rFonts w:ascii="Times New Roman" w:cs="Times New Roman" w:eastAsia="Times New Roman" w:hAnsi="Times New Roman"/>
          <w:sz w:val="14"/>
          <w:szCs w:val="14"/>
          <w:color w:val="auto"/>
        </w:rPr>
      </w:pPr>
    </w:p>
    <w:p>
      <w:pPr>
        <w:ind w:left="2260" w:right="679" w:hanging="312"/>
        <w:spacing w:after="0" w:line="281" w:lineRule="auto"/>
        <w:tabs>
          <w:tab w:leader="none" w:pos="2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Supply Chain Resiliency: </w:t>
      </w:r>
      <w:r>
        <w:rPr>
          <w:rFonts w:ascii="Times New Roman" w:cs="Times New Roman" w:eastAsia="Times New Roman" w:hAnsi="Times New Roman"/>
          <w:sz w:val="14"/>
          <w:szCs w:val="14"/>
          <w:color w:val="auto"/>
        </w:rPr>
        <w:t>Supply chain disruptions and shortages have revealed the industry’s need for in-stock products and short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delivery timeframes.</w:t>
      </w:r>
    </w:p>
    <w:p>
      <w:pPr>
        <w:spacing w:after="0" w:line="28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Value Creation for Key Stakeholders</w:t>
      </w:r>
    </w:p>
    <w:p>
      <w:pPr>
        <w:spacing w:after="0" w:line="174" w:lineRule="exact"/>
        <w:rPr>
          <w:sz w:val="20"/>
          <w:szCs w:val="20"/>
          <w:color w:val="auto"/>
        </w:rPr>
      </w:pPr>
    </w:p>
    <w:p>
      <w:pPr>
        <w:ind w:left="1540" w:right="499" w:firstLine="328"/>
        <w:spacing w:after="0" w:line="278" w:lineRule="auto"/>
        <w:rPr>
          <w:sz w:val="20"/>
          <w:szCs w:val="20"/>
          <w:color w:val="auto"/>
        </w:rPr>
      </w:pPr>
      <w:r>
        <w:rPr>
          <w:rFonts w:ascii="Times New Roman" w:cs="Times New Roman" w:eastAsia="Times New Roman" w:hAnsi="Times New Roman"/>
          <w:sz w:val="14"/>
          <w:szCs w:val="14"/>
          <w:color w:val="auto"/>
        </w:rPr>
        <w:t>Our integrated business model helps us to address the needs of the market today and enables us to drive value for key constituents across the healthcare system.</w:t>
      </w:r>
    </w:p>
    <w:p>
      <w:pPr>
        <w:spacing w:after="0" w:line="20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i w:val="1"/>
          <w:iCs w:val="1"/>
          <w:color w:val="auto"/>
        </w:rPr>
        <w:t>Healthcare providers:</w:t>
      </w:r>
    </w:p>
    <w:p>
      <w:pPr>
        <w:spacing w:after="0" w:line="101" w:lineRule="exact"/>
        <w:rPr>
          <w:sz w:val="20"/>
          <w:szCs w:val="20"/>
          <w:color w:val="auto"/>
        </w:rPr>
      </w:pPr>
    </w:p>
    <w:p>
      <w:pPr>
        <w:ind w:left="2260" w:right="479" w:hanging="312"/>
        <w:spacing w:after="0" w:line="278" w:lineRule="auto"/>
        <w:tabs>
          <w:tab w:leader="none" w:pos="2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high-quality, competitively priced Medline Brand products deliver material cost savings to providers, many of whom face margin pressures.</w:t>
      </w:r>
    </w:p>
    <w:p>
      <w:pPr>
        <w:spacing w:after="0" w:line="53" w:lineRule="exact"/>
        <w:rPr>
          <w:rFonts w:ascii="Times New Roman" w:cs="Times New Roman" w:eastAsia="Times New Roman" w:hAnsi="Times New Roman"/>
          <w:sz w:val="14"/>
          <w:szCs w:val="14"/>
          <w:color w:val="auto"/>
        </w:rPr>
      </w:pPr>
    </w:p>
    <w:p>
      <w:pPr>
        <w:ind w:left="2260" w:right="639" w:hanging="312"/>
        <w:spacing w:after="0" w:line="278" w:lineRule="auto"/>
        <w:tabs>
          <w:tab w:leader="none" w:pos="2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large and efficient supply chain delivers high service levels and rapid delivery of the full spectrum of med-surg products while simplifying operational complexity, ensuring uninterrupted delivery of care, and reducing distribution expenses.</w:t>
      </w:r>
    </w:p>
    <w:p>
      <w:pPr>
        <w:spacing w:after="0" w:line="53" w:lineRule="exact"/>
        <w:rPr>
          <w:rFonts w:ascii="Times New Roman" w:cs="Times New Roman" w:eastAsia="Times New Roman" w:hAnsi="Times New Roman"/>
          <w:sz w:val="14"/>
          <w:szCs w:val="14"/>
          <w:color w:val="auto"/>
        </w:rPr>
      </w:pPr>
    </w:p>
    <w:p>
      <w:pPr>
        <w:ind w:left="2260" w:hanging="312"/>
        <w:spacing w:after="0"/>
        <w:tabs>
          <w:tab w:leader="none" w:pos="226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Prime Vendor model enables the cost-effective management of products, inventory, distribution, and delivery across sites of care.</w:t>
      </w:r>
    </w:p>
    <w:p>
      <w:pPr>
        <w:spacing w:after="0" w:line="110" w:lineRule="exact"/>
        <w:rPr>
          <w:rFonts w:ascii="Times New Roman" w:cs="Times New Roman" w:eastAsia="Times New Roman" w:hAnsi="Times New Roman"/>
          <w:sz w:val="13"/>
          <w:szCs w:val="13"/>
          <w:color w:val="auto"/>
        </w:rPr>
      </w:pPr>
    </w:p>
    <w:p>
      <w:pPr>
        <w:ind w:left="2260" w:right="559" w:hanging="312"/>
        <w:spacing w:after="0" w:line="255" w:lineRule="auto"/>
        <w:tabs>
          <w:tab w:leader="none" w:pos="2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clinical product education programs pair intelligently designed products along with caregiver training, enabling them to provide optimal care for their patients, ultimately yielding better patient outcomes. The clinical product education that healthcare providers receive is aimed at reducing non-reimbursable occurrences of hospital-acquired conditions and hospital-acquired infections. We support these efforts with our robust staff of in-house clinicians, in conjunction with our Medline University programs, to educate providers on the latest research and best practices for the use of particular products.</w:t>
      </w:r>
    </w:p>
    <w:p>
      <w:pPr>
        <w:spacing w:after="0" w:line="22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i w:val="1"/>
          <w:iCs w:val="1"/>
          <w:color w:val="auto"/>
        </w:rPr>
        <w:t>Patients:</w:t>
      </w:r>
    </w:p>
    <w:p>
      <w:pPr>
        <w:spacing w:after="0" w:line="101" w:lineRule="exact"/>
        <w:rPr>
          <w:sz w:val="20"/>
          <w:szCs w:val="20"/>
          <w:color w:val="auto"/>
        </w:rPr>
      </w:pPr>
    </w:p>
    <w:p>
      <w:pPr>
        <w:ind w:left="2260" w:right="439" w:hanging="312"/>
        <w:spacing w:after="0" w:line="318" w:lineRule="auto"/>
        <w:tabs>
          <w:tab w:leader="none" w:pos="226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tools and resources help healthcare providers operate more efficiently, which indirectly benefits patients. This includes everything from supply chain optimization to clinical applications expertise, ensuring that healthcare providers can deliver high-quality care.</w:t>
      </w:r>
    </w:p>
    <w:p>
      <w:pPr>
        <w:spacing w:after="0" w:line="19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0159"/>
          </w:cols>
          <w:pgMar w:left="300" w:top="383"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38093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393690" cy="3809365"/>
                    </a:xfrm>
                    <a:prstGeom prst="rect">
                      <a:avLst/>
                    </a:prstGeom>
                    <a:noFill/>
                  </pic:spPr>
                </pic:pic>
              </a:graphicData>
            </a:graphic>
          </wp:anchor>
        </w:drawing>
      </w:r>
    </w:p>
    <w:p>
      <w:pPr>
        <w:spacing w:after="0" w:line="362" w:lineRule="exact"/>
        <w:rPr>
          <w:sz w:val="20"/>
          <w:szCs w:val="20"/>
          <w:color w:val="auto"/>
        </w:rPr>
      </w:pPr>
    </w:p>
    <w:p>
      <w:pPr>
        <w:ind w:left="2260" w:right="599" w:hanging="312"/>
        <w:spacing w:after="0" w:line="278" w:lineRule="auto"/>
        <w:tabs>
          <w:tab w:leader="none" w:pos="22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educational materials and at-home care kits help patients take an active role in their own care, which improves health outcomes and patient satisfaction.</w:t>
      </w:r>
    </w:p>
    <w:p>
      <w:pPr>
        <w:spacing w:after="0" w:line="53" w:lineRule="exact"/>
        <w:rPr>
          <w:rFonts w:ascii="Times New Roman" w:cs="Times New Roman" w:eastAsia="Times New Roman" w:hAnsi="Times New Roman"/>
          <w:sz w:val="14"/>
          <w:szCs w:val="14"/>
          <w:color w:val="auto"/>
        </w:rPr>
      </w:pPr>
    </w:p>
    <w:p>
      <w:pPr>
        <w:ind w:left="2260" w:hanging="312"/>
        <w:spacing w:after="0"/>
        <w:tabs>
          <w:tab w:leader="none" w:pos="22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focus on thoughtfully designed products and services creates positive patient experiences.</w:t>
      </w:r>
    </w:p>
    <w:p>
      <w:pPr>
        <w:spacing w:after="0" w:line="98" w:lineRule="exact"/>
        <w:rPr>
          <w:rFonts w:ascii="Times New Roman" w:cs="Times New Roman" w:eastAsia="Times New Roman" w:hAnsi="Times New Roman"/>
          <w:sz w:val="14"/>
          <w:szCs w:val="14"/>
          <w:color w:val="auto"/>
        </w:rPr>
      </w:pPr>
    </w:p>
    <w:p>
      <w:pPr>
        <w:ind w:left="2260" w:hanging="312"/>
        <w:spacing w:after="0"/>
        <w:tabs>
          <w:tab w:leader="none" w:pos="22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direct-to-consumer channel increases access to our high-quality, cost-effective products.</w:t>
      </w:r>
    </w:p>
    <w:p>
      <w:pPr>
        <w:spacing w:after="0" w:line="25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i w:val="1"/>
          <w:iCs w:val="1"/>
          <w:color w:val="auto"/>
        </w:rPr>
        <w:t>Product suppliers:</w:t>
      </w:r>
    </w:p>
    <w:p>
      <w:pPr>
        <w:spacing w:after="0" w:line="101" w:lineRule="exact"/>
        <w:rPr>
          <w:sz w:val="20"/>
          <w:szCs w:val="20"/>
          <w:color w:val="auto"/>
        </w:rPr>
      </w:pPr>
    </w:p>
    <w:p>
      <w:pPr>
        <w:ind w:left="2260" w:hanging="312"/>
        <w:spacing w:after="0"/>
        <w:tabs>
          <w:tab w:leader="none" w:pos="226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scaled platform provides third-party product suppliers with access to our commercial team and a large and diverse customer base.</w:t>
      </w:r>
    </w:p>
    <w:p>
      <w:pPr>
        <w:spacing w:after="0" w:line="110" w:lineRule="exact"/>
        <w:rPr>
          <w:rFonts w:ascii="Times New Roman" w:cs="Times New Roman" w:eastAsia="Times New Roman" w:hAnsi="Times New Roman"/>
          <w:sz w:val="13"/>
          <w:szCs w:val="13"/>
          <w:color w:val="auto"/>
        </w:rPr>
      </w:pPr>
    </w:p>
    <w:p>
      <w:pPr>
        <w:ind w:left="2260" w:hanging="312"/>
        <w:spacing w:after="0"/>
        <w:tabs>
          <w:tab w:leader="none" w:pos="22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service levels ensure that suppliers’ products are delivered reliably and on time.</w:t>
      </w:r>
    </w:p>
    <w:p>
      <w:pPr>
        <w:spacing w:after="0" w:line="98" w:lineRule="exact"/>
        <w:rPr>
          <w:rFonts w:ascii="Times New Roman" w:cs="Times New Roman" w:eastAsia="Times New Roman" w:hAnsi="Times New Roman"/>
          <w:sz w:val="14"/>
          <w:szCs w:val="14"/>
          <w:color w:val="auto"/>
        </w:rPr>
      </w:pPr>
    </w:p>
    <w:p>
      <w:pPr>
        <w:ind w:left="2260" w:hanging="312"/>
        <w:spacing w:after="0"/>
        <w:tabs>
          <w:tab w:leader="none" w:pos="22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presence across the healthcare continuum provides opportunities to serve every site of care.</w:t>
      </w:r>
    </w:p>
    <w:p>
      <w:pPr>
        <w:spacing w:after="0" w:line="33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4"/>
          <w:szCs w:val="14"/>
          <w:b w:val="1"/>
          <w:bCs w:val="1"/>
          <w:color w:val="auto"/>
        </w:rPr>
        <w:t>Why We Win</w:t>
      </w:r>
    </w:p>
    <w:p>
      <w:pPr>
        <w:spacing w:after="0" w:line="17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Our ability to earn and retain customers is driven by a number of specific qualities that are critical to our success.</w:t>
      </w:r>
    </w:p>
    <w:p>
      <w:pPr>
        <w:spacing w:after="0" w:line="170" w:lineRule="exact"/>
        <w:rPr>
          <w:sz w:val="20"/>
          <w:szCs w:val="20"/>
          <w:color w:val="auto"/>
        </w:rPr>
      </w:pPr>
    </w:p>
    <w:p>
      <w:pPr>
        <w:ind w:left="1540" w:right="519" w:firstLine="328"/>
        <w:spacing w:after="0" w:line="252" w:lineRule="auto"/>
        <w:rPr>
          <w:sz w:val="20"/>
          <w:szCs w:val="20"/>
          <w:color w:val="auto"/>
        </w:rPr>
      </w:pPr>
      <w:r>
        <w:rPr>
          <w:rFonts w:ascii="Times New Roman" w:cs="Times New Roman" w:eastAsia="Times New Roman" w:hAnsi="Times New Roman"/>
          <w:sz w:val="14"/>
          <w:szCs w:val="14"/>
          <w:b w:val="1"/>
          <w:bCs w:val="1"/>
          <w:i w:val="1"/>
          <w:iCs w:val="1"/>
          <w:color w:val="auto"/>
        </w:rPr>
        <w:t xml:space="preserve">Customer-Focused Culture. </w:t>
      </w:r>
      <w:r>
        <w:rPr>
          <w:rFonts w:ascii="Times New Roman" w:cs="Times New Roman" w:eastAsia="Times New Roman" w:hAnsi="Times New Roman"/>
          <w:sz w:val="14"/>
          <w:szCs w:val="14"/>
          <w:color w:val="auto"/>
        </w:rPr>
        <w:t>Customers are at the heart of what we do. Our best-in-class business model, entrepreneurial spirit,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compelling value proposition are the result of our customer-focused culture that emphasizes the rapid identification of and response to customer needs. We have evolved alongside our customers over time by expanding our product portfolio and supply chain optimization services, and we have built a large U.S. commercial team of approximately 4,000 people so that customers’ needs would be quickly identified and satisfied. We do what we say we are going to do, we are transparent and direct with our customers, and we empower our employees to advocate for our customers. This has translated into high win rates for new business, strong customer loyalty with consistently high customer satisfaction levels, as demonstrated by our customer retention rates, including a greater than 98% average Prime Vendor retention rate over the past five years, and consistently high employee satisfaction levels, which we measure through our periodic employee engagement surveys and employee retention.</w:t>
      </w:r>
    </w:p>
    <w:p>
      <w:pPr>
        <w:spacing w:after="0" w:line="145" w:lineRule="exact"/>
        <w:rPr>
          <w:sz w:val="20"/>
          <w:szCs w:val="20"/>
          <w:color w:val="auto"/>
        </w:rPr>
      </w:pPr>
    </w:p>
    <w:p>
      <w:pPr>
        <w:ind w:left="1540" w:right="419" w:firstLine="328"/>
        <w:spacing w:after="0" w:line="253" w:lineRule="auto"/>
        <w:rPr>
          <w:sz w:val="20"/>
          <w:szCs w:val="20"/>
          <w:color w:val="auto"/>
        </w:rPr>
      </w:pPr>
      <w:r>
        <w:rPr>
          <w:rFonts w:ascii="Times New Roman" w:cs="Times New Roman" w:eastAsia="Times New Roman" w:hAnsi="Times New Roman"/>
          <w:sz w:val="14"/>
          <w:szCs w:val="14"/>
          <w:b w:val="1"/>
          <w:bCs w:val="1"/>
          <w:i w:val="1"/>
          <w:iCs w:val="1"/>
          <w:color w:val="auto"/>
        </w:rPr>
        <w:t xml:space="preserve">Medline Platform Advantage. </w:t>
      </w:r>
      <w:r>
        <w:rPr>
          <w:rFonts w:ascii="Times New Roman" w:cs="Times New Roman" w:eastAsia="Times New Roman" w:hAnsi="Times New Roman"/>
          <w:sz w:val="14"/>
          <w:szCs w:val="14"/>
          <w:color w:val="auto"/>
        </w:rPr>
        <w:t>We are the largest provider of med-surg and supply chain solutions serving all points of care, based on total</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net sales of med-surg products. Our platform is powered by our global procurement network, strategically located distribution centers, high delivery route density, and innovation capabilities informed by proprietary supply chain customer insights. Our vertically integrated business model is designed to deliver the best total value to our customers through a comprehensive set of world-class products, a resilient and highly efficient supply chain, and differentiated clinical solutions. Our ability to provide significant savings on our high-quality products and services and our ability to serve across the entire continuum of care aligns us with the evolving needs of our customers. We had approximately $2.4 billion in total new customer signings for the year ended December 31, 2025.</w:t>
      </w:r>
    </w:p>
    <w:p>
      <w:pPr>
        <w:spacing w:after="0" w:line="23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0159"/>
          </w:cols>
          <w:pgMar w:left="300" w:top="383"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47536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393690" cy="475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540" w:right="439" w:firstLine="328"/>
        <w:spacing w:after="0" w:line="254" w:lineRule="auto"/>
        <w:rPr>
          <w:sz w:val="20"/>
          <w:szCs w:val="20"/>
          <w:color w:val="auto"/>
        </w:rPr>
      </w:pPr>
      <w:r>
        <w:rPr>
          <w:rFonts w:ascii="Times New Roman" w:cs="Times New Roman" w:eastAsia="Times New Roman" w:hAnsi="Times New Roman"/>
          <w:sz w:val="14"/>
          <w:szCs w:val="14"/>
          <w:b w:val="1"/>
          <w:bCs w:val="1"/>
          <w:i w:val="1"/>
          <w:iCs w:val="1"/>
          <w:color w:val="auto"/>
        </w:rPr>
        <w:t xml:space="preserve">Medline Brand Product Portfolio. </w:t>
      </w:r>
      <w:r>
        <w:rPr>
          <w:rFonts w:ascii="Times New Roman" w:cs="Times New Roman" w:eastAsia="Times New Roman" w:hAnsi="Times New Roman"/>
          <w:sz w:val="14"/>
          <w:szCs w:val="14"/>
          <w:color w:val="auto"/>
        </w:rPr>
        <w:t>We offer approximately 190,000 Medline Brand products across our product categories. We have a track</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record of successfully bringing new products to market, with more than 2,300 granted patents and more than 450 clearances under Section 510(k) of the Federal Food, Drug and Cosmetic Act (“510(k)”). Over the last three years, we have successfully launched more than 250 new products. Our vertically integrated platform provides us with unparalleled insights into our customers’ needs, purchasing trends, and potential areas of new, customer-driven product innovation. Our unparalleled scale, the breadth and quality of our product portfolio, and our successful track record of innovation enable us to quickly and cost-effectively address the needs of our customers.</w:t>
      </w:r>
    </w:p>
    <w:p>
      <w:pPr>
        <w:spacing w:after="0" w:line="142" w:lineRule="exact"/>
        <w:rPr>
          <w:sz w:val="20"/>
          <w:szCs w:val="20"/>
          <w:color w:val="auto"/>
        </w:rPr>
      </w:pPr>
    </w:p>
    <w:p>
      <w:pPr>
        <w:ind w:left="1540" w:right="499" w:firstLine="328"/>
        <w:spacing w:after="0" w:line="252" w:lineRule="auto"/>
        <w:rPr>
          <w:sz w:val="20"/>
          <w:szCs w:val="20"/>
          <w:color w:val="auto"/>
        </w:rPr>
      </w:pPr>
      <w:r>
        <w:rPr>
          <w:rFonts w:ascii="Times New Roman" w:cs="Times New Roman" w:eastAsia="Times New Roman" w:hAnsi="Times New Roman"/>
          <w:sz w:val="14"/>
          <w:szCs w:val="14"/>
          <w:b w:val="1"/>
          <w:bCs w:val="1"/>
          <w:i w:val="1"/>
          <w:iCs w:val="1"/>
          <w:color w:val="auto"/>
        </w:rPr>
        <w:t xml:space="preserve">Unrivaled Distribution Capabilities. </w:t>
      </w:r>
      <w:r>
        <w:rPr>
          <w:rFonts w:ascii="Times New Roman" w:cs="Times New Roman" w:eastAsia="Times New Roman" w:hAnsi="Times New Roman"/>
          <w:sz w:val="14"/>
          <w:szCs w:val="14"/>
          <w:color w:val="auto"/>
        </w:rPr>
        <w:t>Medline’s breadth and footprint today is the result of decades of significant investments, including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$1.4 billion in capital expenditures within our distribution network over the last five years. The network has been developed to serve healthcare facilities and providers across the continuum of care. We have a differentiated network of 70 global distribution facilities and a fleet of more than 2,100 MedTrans trucks in the United States that serve the entire continuum of care. Our owned transportation fleet delivers approximately 80% of the products we offer in the United States and leverages a dynamic route planning system to optimize routes by minimizing miles driven and improving trailer utilization. Our extensive supply chain, with a rigorous focus on reducing cost, enables us to deliver products to our customers at the most attractive unit economics and with better service levels than alternatives. As of December 31, 2025, we carried $4.8 billion in global inventory that, combined with our distribution network and capabilities, enables us to have service levels of 99%.</w:t>
      </w:r>
    </w:p>
    <w:p>
      <w:pPr>
        <w:spacing w:after="0" w:line="145" w:lineRule="exact"/>
        <w:rPr>
          <w:sz w:val="20"/>
          <w:szCs w:val="20"/>
          <w:color w:val="auto"/>
        </w:rPr>
      </w:pPr>
    </w:p>
    <w:p>
      <w:pPr>
        <w:ind w:left="1540" w:right="679" w:firstLine="328"/>
        <w:spacing w:after="0" w:line="285" w:lineRule="auto"/>
        <w:rPr>
          <w:sz w:val="20"/>
          <w:szCs w:val="20"/>
          <w:color w:val="auto"/>
        </w:rPr>
      </w:pPr>
      <w:r>
        <w:rPr>
          <w:rFonts w:ascii="Times New Roman" w:cs="Times New Roman" w:eastAsia="Times New Roman" w:hAnsi="Times New Roman"/>
          <w:sz w:val="13"/>
          <w:szCs w:val="13"/>
          <w:b w:val="1"/>
          <w:bCs w:val="1"/>
          <w:i w:val="1"/>
          <w:iCs w:val="1"/>
          <w:color w:val="auto"/>
        </w:rPr>
        <w:t xml:space="preserve">Our Clinical Solutions. </w:t>
      </w:r>
      <w:r>
        <w:rPr>
          <w:rFonts w:ascii="Times New Roman" w:cs="Times New Roman" w:eastAsia="Times New Roman" w:hAnsi="Times New Roman"/>
          <w:sz w:val="13"/>
          <w:szCs w:val="13"/>
          <w:color w:val="auto"/>
        </w:rPr>
        <w:t>Medline’s clinical solutions empower frontline teams with best practice guidance, education and training, and a</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system of products to help improve clinical outcomes. Our clinicians support our customers, providing clinical expertise and comprehensive products, education, and other solutions to enable the best care, cost-effectively and efficiently. Our solutions include recommendations on best practices and product features that can help providers correctly use products, reduce care variation, and provide more consistent care.</w:t>
      </w:r>
    </w:p>
    <w:p>
      <w:pPr>
        <w:spacing w:after="0" w:line="122" w:lineRule="exact"/>
        <w:rPr>
          <w:sz w:val="20"/>
          <w:szCs w:val="20"/>
          <w:color w:val="auto"/>
        </w:rPr>
      </w:pPr>
    </w:p>
    <w:p>
      <w:pPr>
        <w:ind w:left="1540" w:right="579" w:firstLine="328"/>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 xml:space="preserve">Increasing Returns to Scale. </w:t>
      </w:r>
      <w:r>
        <w:rPr>
          <w:rFonts w:ascii="Times New Roman" w:cs="Times New Roman" w:eastAsia="Times New Roman" w:hAnsi="Times New Roman"/>
          <w:sz w:val="14"/>
          <w:szCs w:val="14"/>
          <w:color w:val="auto"/>
        </w:rPr>
        <w:t>As we grow, Medline is uniquely positioned to benefit from our vertically integrated model and over 1,600</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active Prime Vendor relationships. Revenue growth in Medline Brand products increases our purchasing power with our global sourcing partners and enables investments to increase the efficiency of our internal manufacturing capabilities, which may reduce the cost of goods sold. Lowering our cost of goods sold on Medline Brand products provides higher value to our customers and improves our competitive</w:t>
      </w:r>
    </w:p>
    <w:p>
      <w:pPr>
        <w:spacing w:after="0" w:line="22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0159"/>
          </w:cols>
          <w:pgMar w:left="300" w:top="383"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4614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393690" cy="4614545"/>
                    </a:xfrm>
                    <a:prstGeom prst="rect">
                      <a:avLst/>
                    </a:prstGeom>
                    <a:noFill/>
                  </pic:spPr>
                </pic:pic>
              </a:graphicData>
            </a:graphic>
          </wp:anchor>
        </w:drawing>
      </w:r>
    </w:p>
    <w:p>
      <w:pPr>
        <w:spacing w:after="0" w:line="362" w:lineRule="exact"/>
        <w:rPr>
          <w:sz w:val="20"/>
          <w:szCs w:val="20"/>
          <w:color w:val="auto"/>
        </w:rPr>
      </w:pPr>
    </w:p>
    <w:p>
      <w:pPr>
        <w:ind w:left="1540" w:right="479"/>
        <w:spacing w:after="0" w:line="255" w:lineRule="auto"/>
        <w:rPr>
          <w:sz w:val="20"/>
          <w:szCs w:val="20"/>
          <w:color w:val="auto"/>
        </w:rPr>
      </w:pPr>
      <w:r>
        <w:rPr>
          <w:rFonts w:ascii="Times New Roman" w:cs="Times New Roman" w:eastAsia="Times New Roman" w:hAnsi="Times New Roman"/>
          <w:sz w:val="14"/>
          <w:szCs w:val="14"/>
          <w:color w:val="auto"/>
        </w:rPr>
        <w:t>pricing. Growing our customer base results in increased transportation route density, which in turn improves efficiency, lowers costs, and increases service levels for our customers. We reinvest these savings in better customer value, which extends our competitive advantage and accelerates our ability to earn new customers. As we add new customers, we gain better insight into their needs and drive investments in product innovation, resulting in greater Medline Brand sales growth. The mutual reinforcement of these dynamics compounds over time—we become an increasingly strategic partner for our customers as they continue to grow and scale.</w:t>
      </w:r>
    </w:p>
    <w:p>
      <w:pPr>
        <w:spacing w:after="0" w:line="3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Our Growth Strategy</w:t>
      </w:r>
    </w:p>
    <w:p>
      <w:pPr>
        <w:spacing w:after="0" w:line="174" w:lineRule="exact"/>
        <w:rPr>
          <w:sz w:val="20"/>
          <w:szCs w:val="20"/>
          <w:color w:val="auto"/>
        </w:rPr>
      </w:pPr>
    </w:p>
    <w:p>
      <w:pPr>
        <w:ind w:left="1540" w:right="419" w:firstLine="328"/>
        <w:spacing w:after="0" w:line="318" w:lineRule="auto"/>
        <w:rPr>
          <w:sz w:val="20"/>
          <w:szCs w:val="20"/>
          <w:color w:val="auto"/>
        </w:rPr>
      </w:pPr>
      <w:r>
        <w:rPr>
          <w:rFonts w:ascii="Times New Roman" w:cs="Times New Roman" w:eastAsia="Times New Roman" w:hAnsi="Times New Roman"/>
          <w:sz w:val="13"/>
          <w:szCs w:val="13"/>
          <w:color w:val="auto"/>
        </w:rPr>
        <w:t>We have a demonstrated track record of delivering consistent growth over more than half a century, irrespective of economic conditions. We expect to continue to grow in excess of the broader med-surg market due to a combination of strategies that drive our net sales and earnings growth.</w:t>
      </w:r>
    </w:p>
    <w:p>
      <w:pPr>
        <w:spacing w:after="0" w:line="10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u w:val="single" w:color="auto"/>
          <w:color w:val="auto"/>
        </w:rPr>
        <w:t>Net Sales Growth</w:t>
      </w:r>
      <w:r>
        <w:rPr>
          <w:rFonts w:ascii="Times New Roman" w:cs="Times New Roman" w:eastAsia="Times New Roman" w:hAnsi="Times New Roman"/>
          <w:sz w:val="14"/>
          <w:szCs w:val="14"/>
          <w:color w:val="auto"/>
        </w:rPr>
        <w:t>:</w:t>
      </w:r>
    </w:p>
    <w:p>
      <w:pPr>
        <w:spacing w:after="0" w:line="97" w:lineRule="exact"/>
        <w:rPr>
          <w:sz w:val="20"/>
          <w:szCs w:val="20"/>
          <w:color w:val="auto"/>
        </w:rPr>
      </w:pPr>
    </w:p>
    <w:p>
      <w:pPr>
        <w:ind w:left="2260" w:right="559" w:hanging="312"/>
        <w:spacing w:after="0" w:line="259" w:lineRule="auto"/>
        <w:tabs>
          <w:tab w:leader="none" w:pos="22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Growing with our Prime Vendor Customers</w:t>
      </w:r>
      <w:r>
        <w:rPr>
          <w:rFonts w:ascii="Times New Roman" w:cs="Times New Roman" w:eastAsia="Times New Roman" w:hAnsi="Times New Roman"/>
          <w:sz w:val="14"/>
          <w:szCs w:val="14"/>
          <w:color w:val="auto"/>
        </w:rPr>
        <w:t>: We have achieved a greater than 98% average Prime Vendor retention rate over the past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five years. Importantly, we are partnered with many of the largest healthcare systems across the country and are well-positioned to grow with our customers as their patients’ underlying healthcare utilization increases, they build and acquire new sites, and they further consolidate med-surg spend with Medline.</w:t>
      </w:r>
    </w:p>
    <w:p>
      <w:pPr>
        <w:spacing w:after="0" w:line="64" w:lineRule="exact"/>
        <w:rPr>
          <w:rFonts w:ascii="Times New Roman" w:cs="Times New Roman" w:eastAsia="Times New Roman" w:hAnsi="Times New Roman"/>
          <w:sz w:val="14"/>
          <w:szCs w:val="14"/>
          <w:color w:val="auto"/>
        </w:rPr>
      </w:pPr>
    </w:p>
    <w:p>
      <w:pPr>
        <w:ind w:left="2260" w:right="559" w:hanging="312"/>
        <w:spacing w:after="0" w:line="259" w:lineRule="auto"/>
        <w:tabs>
          <w:tab w:leader="none" w:pos="22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Winning New Prime Vendor Customers</w:t>
      </w:r>
      <w:r>
        <w:rPr>
          <w:rFonts w:ascii="Times New Roman" w:cs="Times New Roman" w:eastAsia="Times New Roman" w:hAnsi="Times New Roman"/>
          <w:sz w:val="14"/>
          <w:szCs w:val="14"/>
          <w:color w:val="auto"/>
        </w:rPr>
        <w:t>: We continue to earn new Prime Vendor customers, which has been a key driver of sustained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growth in both Medline Brand and Supply Chain Solutions. Over the past six years, we have signed new Prime Vendor contracts representing approximately $8 billion of annual contract value. Additionally, we continue to expand the scope of our Prime Vendor relationships in non-acute sites of care.</w:t>
      </w:r>
    </w:p>
    <w:p>
      <w:pPr>
        <w:spacing w:after="0" w:line="64" w:lineRule="exact"/>
        <w:rPr>
          <w:rFonts w:ascii="Times New Roman" w:cs="Times New Roman" w:eastAsia="Times New Roman" w:hAnsi="Times New Roman"/>
          <w:sz w:val="14"/>
          <w:szCs w:val="14"/>
          <w:color w:val="auto"/>
        </w:rPr>
      </w:pPr>
    </w:p>
    <w:p>
      <w:pPr>
        <w:ind w:left="2260" w:right="639" w:hanging="312"/>
        <w:spacing w:after="0" w:line="264" w:lineRule="auto"/>
        <w:tabs>
          <w:tab w:leader="none" w:pos="22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Growing Medline Brand with Non-Prime Vendor Customers</w:t>
      </w:r>
      <w:r>
        <w:rPr>
          <w:rFonts w:ascii="Times New Roman" w:cs="Times New Roman" w:eastAsia="Times New Roman" w:hAnsi="Times New Roman"/>
          <w:sz w:val="14"/>
          <w:szCs w:val="14"/>
          <w:color w:val="auto"/>
        </w:rPr>
        <w:t>: An increasing number of non-Prime Vendor customers are choosing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Medline Brand. We will continue to provide high-quality, cost-effective products that meet their med-surg needs and accelerate our expansion within these customers.</w:t>
      </w:r>
    </w:p>
    <w:p>
      <w:pPr>
        <w:spacing w:after="0" w:line="61" w:lineRule="exact"/>
        <w:rPr>
          <w:rFonts w:ascii="Times New Roman" w:cs="Times New Roman" w:eastAsia="Times New Roman" w:hAnsi="Times New Roman"/>
          <w:sz w:val="14"/>
          <w:szCs w:val="14"/>
          <w:color w:val="auto"/>
        </w:rPr>
      </w:pPr>
    </w:p>
    <w:p>
      <w:pPr>
        <w:ind w:left="2260" w:right="499" w:hanging="312"/>
        <w:spacing w:after="0" w:line="294" w:lineRule="auto"/>
        <w:tabs>
          <w:tab w:leader="none" w:pos="226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Continuous Product Innovation</w:t>
      </w:r>
      <w:r>
        <w:rPr>
          <w:rFonts w:ascii="Times New Roman" w:cs="Times New Roman" w:eastAsia="Times New Roman" w:hAnsi="Times New Roman"/>
          <w:sz w:val="13"/>
          <w:szCs w:val="13"/>
          <w:color w:val="auto"/>
        </w:rPr>
        <w:t>: Innovation is embedded within our product teams, who leverage our salesforce, customer feedback,</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and our quality and regulatory organizations to develop new Medline Brand products. Our culture of innovation and entrepreneurship and our highly scalable go-to-market model provide us with unique capabilities to bring products to market swiftly.</w:t>
      </w:r>
    </w:p>
    <w:p>
      <w:pPr>
        <w:spacing w:after="0" w:line="43" w:lineRule="exact"/>
        <w:rPr>
          <w:rFonts w:ascii="Times New Roman" w:cs="Times New Roman" w:eastAsia="Times New Roman" w:hAnsi="Times New Roman"/>
          <w:sz w:val="13"/>
          <w:szCs w:val="13"/>
          <w:color w:val="auto"/>
        </w:rPr>
      </w:pPr>
    </w:p>
    <w:p>
      <w:pPr>
        <w:ind w:left="2260" w:right="439" w:hanging="312"/>
        <w:spacing w:after="0" w:line="285" w:lineRule="auto"/>
        <w:tabs>
          <w:tab w:leader="none" w:pos="226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Channel Expansion</w:t>
      </w:r>
      <w:r>
        <w:rPr>
          <w:rFonts w:ascii="Times New Roman" w:cs="Times New Roman" w:eastAsia="Times New Roman" w:hAnsi="Times New Roman"/>
          <w:sz w:val="13"/>
          <w:szCs w:val="13"/>
          <w:color w:val="auto"/>
        </w:rPr>
        <w:t>: We will continue to evaluate new opportunities to expand our TAM and the markets we serve. We currently serve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healthcare providers anywhere a patient, resident, or consumer needs access to medical products. In 2016, we entered the acute care laboratory and diagnostics channel, which we believe is ripe for disruption. Most recently, we expanded into animal health in the United States and dental in Canada. We will continue to evaluate and selectively expand into new channels as opportunities arise.</w:t>
      </w:r>
    </w:p>
    <w:p>
      <w:pPr>
        <w:spacing w:after="0" w:line="48" w:lineRule="exact"/>
        <w:rPr>
          <w:rFonts w:ascii="Times New Roman" w:cs="Times New Roman" w:eastAsia="Times New Roman" w:hAnsi="Times New Roman"/>
          <w:sz w:val="13"/>
          <w:szCs w:val="13"/>
          <w:color w:val="auto"/>
        </w:rPr>
      </w:pPr>
    </w:p>
    <w:p>
      <w:pPr>
        <w:ind w:left="2260" w:hanging="312"/>
        <w:spacing w:after="0"/>
        <w:tabs>
          <w:tab w:leader="none" w:pos="22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International Expansion</w:t>
      </w:r>
      <w:r>
        <w:rPr>
          <w:rFonts w:ascii="Times New Roman" w:cs="Times New Roman" w:eastAsia="Times New Roman" w:hAnsi="Times New Roman"/>
          <w:sz w:val="14"/>
          <w:szCs w:val="14"/>
          <w:color w:val="auto"/>
        </w:rPr>
        <w:t>: Our value proposition can help customers across markets internationally, and we expect to tap into the</w:t>
      </w:r>
    </w:p>
    <w:p>
      <w:pPr>
        <w:spacing w:after="0" w:line="22" w:lineRule="exact"/>
        <w:rPr>
          <w:rFonts w:ascii="Times New Roman" w:cs="Times New Roman" w:eastAsia="Times New Roman" w:hAnsi="Times New Roman"/>
          <w:sz w:val="14"/>
          <w:szCs w:val="14"/>
          <w:color w:val="auto"/>
        </w:rPr>
      </w:pPr>
    </w:p>
    <w:p>
      <w:pPr>
        <w:jc w:val="both"/>
        <w:ind w:left="2260" w:right="539"/>
        <w:spacing w:after="0" w:line="25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$200 billion international addressable market through both organic and inorganic expansion. We will continue to strategically launch new products and enter new markets and care settings outside the United States. This expansion represents an attractive opportunity, as our International net sales represented only 6.9% of our net sales for the year ended December 31, 2025.</w:t>
      </w:r>
    </w:p>
    <w:p>
      <w:pPr>
        <w:spacing w:after="0" w:line="68" w:lineRule="exact"/>
        <w:rPr>
          <w:rFonts w:ascii="Times New Roman" w:cs="Times New Roman" w:eastAsia="Times New Roman" w:hAnsi="Times New Roman"/>
          <w:sz w:val="14"/>
          <w:szCs w:val="14"/>
          <w:color w:val="auto"/>
        </w:rPr>
      </w:pPr>
    </w:p>
    <w:p>
      <w:pPr>
        <w:ind w:left="2260" w:right="499" w:hanging="312"/>
        <w:spacing w:after="0" w:line="264" w:lineRule="auto"/>
        <w:tabs>
          <w:tab w:leader="none" w:pos="22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M&amp;A Execution</w:t>
      </w:r>
      <w:r>
        <w:rPr>
          <w:rFonts w:ascii="Times New Roman" w:cs="Times New Roman" w:eastAsia="Times New Roman" w:hAnsi="Times New Roman"/>
          <w:sz w:val="14"/>
          <w:szCs w:val="14"/>
          <w:color w:val="auto"/>
        </w:rPr>
        <w:t>: Our disciplined, global M&amp;A strategy is focused on pursuing adjacent products and services, as well as expanding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into new channels. We have a proven strategy for integrating new acquisitions and achieving significant synergies, which has enabled us to acquire businesses at</w:t>
      </w:r>
    </w:p>
    <w:p>
      <w:pPr>
        <w:spacing w:after="0" w:line="23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0159"/>
          </w:cols>
          <w:pgMar w:left="300" w:top="383"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49187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393690" cy="4918710"/>
                    </a:xfrm>
                    <a:prstGeom prst="rect">
                      <a:avLst/>
                    </a:prstGeom>
                    <a:noFill/>
                  </pic:spPr>
                </pic:pic>
              </a:graphicData>
            </a:graphic>
          </wp:anchor>
        </w:drawing>
      </w:r>
    </w:p>
    <w:p>
      <w:pPr>
        <w:spacing w:after="0" w:line="362" w:lineRule="exact"/>
        <w:rPr>
          <w:sz w:val="20"/>
          <w:szCs w:val="20"/>
          <w:color w:val="auto"/>
        </w:rPr>
      </w:pPr>
    </w:p>
    <w:p>
      <w:pPr>
        <w:ind w:left="2280" w:right="499"/>
        <w:spacing w:after="0" w:line="255" w:lineRule="auto"/>
        <w:rPr>
          <w:sz w:val="20"/>
          <w:szCs w:val="20"/>
          <w:color w:val="auto"/>
        </w:rPr>
      </w:pPr>
      <w:r>
        <w:rPr>
          <w:rFonts w:ascii="Times New Roman" w:cs="Times New Roman" w:eastAsia="Times New Roman" w:hAnsi="Times New Roman"/>
          <w:sz w:val="14"/>
          <w:szCs w:val="14"/>
          <w:color w:val="auto"/>
        </w:rPr>
        <w:t>attractive valuations on a post-synergy basis. The breadth of our product channels and our low-cost manufacturing and sourcing model makes Medline a powerful M&amp;A platform. Recent examples of our M&amp;A strategy include the acquisition of a portion of the global surgical solutions business of Ecolab, Inc. including the industry-leading Microtek product lines (“Microtek”), which provides highly complementary products to our Surgical Solutions product category, as well as the acquisition of Sinclair Dental, further extending our distribution capabilities outside the United States.</w:t>
      </w:r>
    </w:p>
    <w:p>
      <w:pPr>
        <w:spacing w:after="0" w:line="14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u w:val="single" w:color="auto"/>
          <w:color w:val="auto"/>
        </w:rPr>
        <w:t>Earnings Growth</w:t>
      </w:r>
      <w:r>
        <w:rPr>
          <w:rFonts w:ascii="Times New Roman" w:cs="Times New Roman" w:eastAsia="Times New Roman" w:hAnsi="Times New Roman"/>
          <w:sz w:val="14"/>
          <w:szCs w:val="14"/>
          <w:color w:val="auto"/>
        </w:rPr>
        <w:t>:</w:t>
      </w:r>
    </w:p>
    <w:p>
      <w:pPr>
        <w:spacing w:after="0" w:line="97" w:lineRule="exact"/>
        <w:rPr>
          <w:sz w:val="20"/>
          <w:szCs w:val="20"/>
          <w:color w:val="auto"/>
        </w:rPr>
      </w:pPr>
    </w:p>
    <w:p>
      <w:pPr>
        <w:ind w:left="2260" w:right="519" w:hanging="312"/>
        <w:spacing w:after="0" w:line="271" w:lineRule="auto"/>
        <w:tabs>
          <w:tab w:leader="none" w:pos="226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Medline Brand Conversion Opportunity</w:t>
      </w:r>
      <w:r>
        <w:rPr>
          <w:rFonts w:ascii="Times New Roman" w:cs="Times New Roman" w:eastAsia="Times New Roman" w:hAnsi="Times New Roman"/>
          <w:sz w:val="13"/>
          <w:szCs w:val="13"/>
          <w:color w:val="auto"/>
        </w:rPr>
        <w:t>: To help our customers achieve cost savings, we provide them with Medline Brand products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that offer superior or similar quality to third-party products at a more cost-effective price. Medline earns a higher margin on sales of Medline Brand products compared to sales of comparable third-party products. Supply Chain Solutions products for which like-for-like Medline Brand products are available represented approximately $5.0 billion in net sales to existing Prime Vendor customers as of December 31, 2025. Assuming historical margins, if 100% of such products were converted to available like-for-like Medline Brand products, the incremental gross profit opportunity associated with such conversion would be approximately</w:t>
      </w:r>
    </w:p>
    <w:p>
      <w:pPr>
        <w:spacing w:after="0" w:line="2" w:lineRule="exact"/>
        <w:rPr>
          <w:rFonts w:ascii="Times New Roman" w:cs="Times New Roman" w:eastAsia="Times New Roman" w:hAnsi="Times New Roman"/>
          <w:sz w:val="13"/>
          <w:szCs w:val="13"/>
          <w:color w:val="auto"/>
        </w:rPr>
      </w:pPr>
    </w:p>
    <w:p>
      <w:pPr>
        <w:ind w:left="2260" w:right="459"/>
        <w:spacing w:after="0" w:line="24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$1.3 billion. Conversion of 100% of this opportunity is not immediately achievable, and we cannot provide any assurance regarding the timing or extent of any such conversions. While we historically have earned higher margins upon conversion from third-party national brand products to like-for-like Medline Brand products, because of the lower average prices for Medline Brand products, there is typically a negative impact on net sales upon the conversion of Supply Chain Solutions products to like-for-like Medline Brand products if volume is assumed to be constant. We believe that the average margins for Supply Chain Solutions products converted to Medline Brand products have not significantly differed from those that have not been converted. Similarly, the average margins of products converted to Medline Brand do not vary materially from their unconverted counterparts. Therefore, we assume our historical estimates will continue with future conversions. For further information on potential risks relating to this conversion opportunity, please refer to “Part I—Item 1A—Risk Factors—Risks Related to Our Business, Industry and Operations—Our failure to establish and maintain Prime Vendor relationships may cause our revenue to decline” in our 2025 Form 10-K incorporated by reference in this prospectus.</w:t>
      </w:r>
    </w:p>
    <w:p>
      <w:pPr>
        <w:spacing w:after="0" w:line="76" w:lineRule="exact"/>
        <w:rPr>
          <w:rFonts w:ascii="Times New Roman" w:cs="Times New Roman" w:eastAsia="Times New Roman" w:hAnsi="Times New Roman"/>
          <w:sz w:val="13"/>
          <w:szCs w:val="13"/>
          <w:color w:val="auto"/>
        </w:rPr>
      </w:pPr>
    </w:p>
    <w:p>
      <w:pPr>
        <w:jc w:val="both"/>
        <w:ind w:left="2260" w:right="499" w:hanging="312"/>
        <w:spacing w:after="0" w:line="259" w:lineRule="auto"/>
        <w:tabs>
          <w:tab w:leader="none" w:pos="22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Operational Execution</w:t>
      </w:r>
      <w:r>
        <w:rPr>
          <w:rFonts w:ascii="Times New Roman" w:cs="Times New Roman" w:eastAsia="Times New Roman" w:hAnsi="Times New Roman"/>
          <w:sz w:val="14"/>
          <w:szCs w:val="14"/>
          <w:color w:val="auto"/>
        </w:rPr>
        <w:t>: To strengthen our cost advantage on Medline Brand products, we continuously improve our procurement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sourcing functions to further reduce our spend on key inputs. Our relentless scrutiny on our own costs both in our manufacturing and distribution networks helps us to deliver quality products cost effectively. As we scale, our operating leverage will further expand our margins over time.</w:t>
      </w:r>
    </w:p>
    <w:p>
      <w:pPr>
        <w:spacing w:after="0" w:line="3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Our Culture</w:t>
      </w:r>
    </w:p>
    <w:p>
      <w:pPr>
        <w:spacing w:after="0" w:line="174" w:lineRule="exact"/>
        <w:rPr>
          <w:sz w:val="20"/>
          <w:szCs w:val="20"/>
          <w:color w:val="auto"/>
        </w:rPr>
      </w:pPr>
    </w:p>
    <w:p>
      <w:pPr>
        <w:ind w:left="1540" w:right="459" w:firstLine="328"/>
        <w:spacing w:after="0" w:line="255" w:lineRule="auto"/>
        <w:rPr>
          <w:sz w:val="20"/>
          <w:szCs w:val="20"/>
          <w:color w:val="auto"/>
        </w:rPr>
      </w:pPr>
      <w:r>
        <w:rPr>
          <w:rFonts w:ascii="Times New Roman" w:cs="Times New Roman" w:eastAsia="Times New Roman" w:hAnsi="Times New Roman"/>
          <w:sz w:val="14"/>
          <w:szCs w:val="14"/>
          <w:color w:val="auto"/>
        </w:rPr>
        <w:t>Our story is one of customer focus that has led to strong performance and success. Every hour of every day, medical professionals rely on Medline products to help them do their jobs. Our work touches the lives of millions of people, yet we are much more than a supplier of world-class medical solutions: we are here to make healthcare run better. We have delivered consecutive net sales growth every year since our inception and today we employ over 45,000 people and operate across more than 100 countries. The work we do enables healthcare providers to deliver the best quality care, in the most financially sustainable way, across the entire continuum of healthcare.</w:t>
      </w:r>
    </w:p>
    <w:p>
      <w:pPr>
        <w:spacing w:after="0" w:line="14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Our culture is guided by our six core values:</w:t>
      </w:r>
    </w:p>
    <w:p>
      <w:pPr>
        <w:spacing w:after="0" w:line="99" w:lineRule="exact"/>
        <w:rPr>
          <w:sz w:val="20"/>
          <w:szCs w:val="20"/>
          <w:color w:val="auto"/>
        </w:rPr>
      </w:pPr>
    </w:p>
    <w:p>
      <w:pPr>
        <w:ind w:left="2260" w:hanging="312"/>
        <w:spacing w:after="0"/>
        <w:tabs>
          <w:tab w:leader="none" w:pos="22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 relentless customer focus</w:t>
      </w:r>
    </w:p>
    <w:p>
      <w:pPr>
        <w:spacing w:after="0" w:line="98" w:lineRule="exact"/>
        <w:rPr>
          <w:rFonts w:ascii="Times New Roman" w:cs="Times New Roman" w:eastAsia="Times New Roman" w:hAnsi="Times New Roman"/>
          <w:sz w:val="14"/>
          <w:szCs w:val="14"/>
          <w:color w:val="auto"/>
        </w:rPr>
      </w:pPr>
    </w:p>
    <w:p>
      <w:pPr>
        <w:ind w:left="2260" w:hanging="312"/>
        <w:spacing w:after="0"/>
        <w:tabs>
          <w:tab w:leader="none" w:pos="22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demonstrate agility and flexibility</w:t>
      </w:r>
    </w:p>
    <w:p>
      <w:pPr>
        <w:spacing w:after="0" w:line="98" w:lineRule="exact"/>
        <w:rPr>
          <w:rFonts w:ascii="Times New Roman" w:cs="Times New Roman" w:eastAsia="Times New Roman" w:hAnsi="Times New Roman"/>
          <w:sz w:val="14"/>
          <w:szCs w:val="14"/>
          <w:color w:val="auto"/>
        </w:rPr>
      </w:pPr>
    </w:p>
    <w:p>
      <w:pPr>
        <w:ind w:left="2260" w:hanging="312"/>
        <w:spacing w:after="0"/>
        <w:tabs>
          <w:tab w:leader="none" w:pos="22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gritty problem solvers</w:t>
      </w:r>
    </w:p>
    <w:p>
      <w:pPr>
        <w:spacing w:after="0" w:line="26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0159"/>
          </w:cols>
          <w:pgMar w:left="300" w:top="383"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49117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393690" cy="4911725"/>
                    </a:xfrm>
                    <a:prstGeom prst="rect">
                      <a:avLst/>
                    </a:prstGeom>
                    <a:noFill/>
                  </pic:spPr>
                </pic:pic>
              </a:graphicData>
            </a:graphic>
          </wp:anchor>
        </w:drawing>
      </w:r>
    </w:p>
    <w:p>
      <w:pPr>
        <w:spacing w:after="0" w:line="362" w:lineRule="exact"/>
        <w:rPr>
          <w:sz w:val="20"/>
          <w:szCs w:val="20"/>
          <w:color w:val="auto"/>
        </w:rPr>
      </w:pPr>
    </w:p>
    <w:p>
      <w:pPr>
        <w:ind w:left="2260" w:hanging="312"/>
        <w:spacing w:after="0"/>
        <w:tabs>
          <w:tab w:leader="none" w:pos="22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drive to succeed</w:t>
      </w:r>
    </w:p>
    <w:p>
      <w:pPr>
        <w:spacing w:after="0" w:line="98" w:lineRule="exact"/>
        <w:rPr>
          <w:rFonts w:ascii="Times New Roman" w:cs="Times New Roman" w:eastAsia="Times New Roman" w:hAnsi="Times New Roman"/>
          <w:sz w:val="14"/>
          <w:szCs w:val="14"/>
          <w:color w:val="auto"/>
        </w:rPr>
      </w:pPr>
    </w:p>
    <w:p>
      <w:pPr>
        <w:ind w:left="2260" w:hanging="312"/>
        <w:spacing w:after="0"/>
        <w:tabs>
          <w:tab w:leader="none" w:pos="22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practice purposeful candor</w:t>
      </w:r>
    </w:p>
    <w:p>
      <w:pPr>
        <w:spacing w:after="0" w:line="98" w:lineRule="exact"/>
        <w:rPr>
          <w:rFonts w:ascii="Times New Roman" w:cs="Times New Roman" w:eastAsia="Times New Roman" w:hAnsi="Times New Roman"/>
          <w:sz w:val="14"/>
          <w:szCs w:val="14"/>
          <w:color w:val="auto"/>
        </w:rPr>
      </w:pPr>
    </w:p>
    <w:p>
      <w:pPr>
        <w:ind w:left="2260" w:hanging="312"/>
        <w:spacing w:after="0"/>
        <w:tabs>
          <w:tab w:leader="none" w:pos="22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believe relationships matter</w:t>
      </w:r>
    </w:p>
    <w:p>
      <w:pPr>
        <w:spacing w:after="0" w:line="172" w:lineRule="exact"/>
        <w:rPr>
          <w:sz w:val="20"/>
          <w:szCs w:val="20"/>
          <w:color w:val="auto"/>
        </w:rPr>
      </w:pPr>
    </w:p>
    <w:p>
      <w:pPr>
        <w:ind w:left="1540" w:right="499" w:firstLine="328"/>
        <w:spacing w:after="0" w:line="292" w:lineRule="auto"/>
        <w:rPr>
          <w:sz w:val="20"/>
          <w:szCs w:val="20"/>
          <w:color w:val="auto"/>
        </w:rPr>
      </w:pPr>
      <w:r>
        <w:rPr>
          <w:rFonts w:ascii="Times New Roman" w:cs="Times New Roman" w:eastAsia="Times New Roman" w:hAnsi="Times New Roman"/>
          <w:sz w:val="13"/>
          <w:szCs w:val="13"/>
          <w:color w:val="auto"/>
        </w:rPr>
        <w:t>Our team of driven and passionate people brings these values to life. Employees are empowered to make meaningful contributions and work with determination to understand our customers’ needs and deliver exceptional service. We combine our scale with agility to improve healthcare delivery and embrace our customers’ challenges as our own. Medline has been recognized by Forbes as one of America’s Best Large Employers.</w:t>
      </w:r>
    </w:p>
    <w:p>
      <w:pPr>
        <w:spacing w:after="0" w:line="28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Our Structure</w:t>
      </w:r>
    </w:p>
    <w:p>
      <w:pPr>
        <w:spacing w:after="0" w:line="174"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4"/>
          <w:szCs w:val="14"/>
          <w:color w:val="auto"/>
        </w:rPr>
        <w:t>Medline Inc. is a holding company, and its sole material assets are its equity interests held directly or indirectly through wholly owned</w:t>
      </w:r>
    </w:p>
    <w:p>
      <w:pPr>
        <w:spacing w:after="0" w:line="2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color w:val="auto"/>
        </w:rPr>
        <w:t>subsidiaries in Medline Holdings. As the general partner of Medline Holdings, Medline Inc. operates and controls all of the business and affairs of</w:t>
      </w:r>
    </w:p>
    <w:p>
      <w:pPr>
        <w:spacing w:after="0" w:line="1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Medline Holdings and, through Medline Holdings and its subsidiaries, conducts our business. Prior to the completion of the IPO:</w:t>
      </w:r>
    </w:p>
    <w:p>
      <w:pPr>
        <w:spacing w:after="0" w:line="84" w:lineRule="exact"/>
        <w:rPr>
          <w:sz w:val="20"/>
          <w:szCs w:val="20"/>
          <w:color w:val="auto"/>
        </w:rPr>
      </w:pPr>
    </w:p>
    <w:p>
      <w:pPr>
        <w:ind w:left="2280" w:right="519" w:hanging="415"/>
        <w:spacing w:after="0" w:line="278" w:lineRule="auto"/>
        <w:tabs>
          <w:tab w:leader="none" w:pos="22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Pre-IPO Stockholders received shares of Class A common stock of Medline Inc. pursuant to the Blocker Transfers as defined and described in “Organizational Structure—Blocker Transfers”;</w:t>
      </w:r>
    </w:p>
    <w:p>
      <w:pPr>
        <w:spacing w:after="0" w:line="53" w:lineRule="exact"/>
        <w:rPr>
          <w:rFonts w:ascii="Times New Roman" w:cs="Times New Roman" w:eastAsia="Times New Roman" w:hAnsi="Times New Roman"/>
          <w:sz w:val="14"/>
          <w:szCs w:val="14"/>
          <w:color w:val="auto"/>
        </w:rPr>
      </w:pPr>
    </w:p>
    <w:p>
      <w:pPr>
        <w:jc w:val="both"/>
        <w:ind w:left="2280" w:right="499" w:hanging="415"/>
        <w:spacing w:after="0" w:line="263" w:lineRule="auto"/>
        <w:tabs>
          <w:tab w:leader="none" w:pos="22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limited partnership agreement of Medline Holdings was amended and restated to, among other things, modify its capital structure by reclassifying its interests as follows (as further described under “Organizational Structure—Reclassification and Amendment and Restatement of the Limited Partnership Agreement of Medline Holdings”):</w:t>
      </w:r>
    </w:p>
    <w:p>
      <w:pPr>
        <w:spacing w:after="0" w:line="63" w:lineRule="exact"/>
        <w:rPr>
          <w:rFonts w:ascii="Times New Roman" w:cs="Times New Roman" w:eastAsia="Times New Roman" w:hAnsi="Times New Roman"/>
          <w:sz w:val="14"/>
          <w:szCs w:val="14"/>
          <w:color w:val="auto"/>
        </w:rPr>
      </w:pPr>
    </w:p>
    <w:p>
      <w:pPr>
        <w:ind w:left="2580" w:hanging="227"/>
        <w:spacing w:after="0"/>
        <w:tabs>
          <w:tab w:leader="none" w:pos="258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A Units held by Continuing Common Unitholders were converted into Common Units;</w:t>
      </w:r>
    </w:p>
    <w:p>
      <w:pPr>
        <w:spacing w:after="0" w:line="98" w:lineRule="exact"/>
        <w:rPr>
          <w:rFonts w:ascii="Times New Roman" w:cs="Times New Roman" w:eastAsia="Times New Roman" w:hAnsi="Times New Roman"/>
          <w:sz w:val="14"/>
          <w:szCs w:val="14"/>
          <w:color w:val="auto"/>
        </w:rPr>
      </w:pPr>
    </w:p>
    <w:p>
      <w:pPr>
        <w:ind w:left="2580" w:hanging="227"/>
        <w:spacing w:after="0"/>
        <w:tabs>
          <w:tab w:leader="none" w:pos="258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CUPI Units held by Continuing Common Unitholders were converted into Common Units; and</w:t>
      </w:r>
    </w:p>
    <w:p>
      <w:pPr>
        <w:spacing w:after="0" w:line="98" w:lineRule="exact"/>
        <w:rPr>
          <w:rFonts w:ascii="Times New Roman" w:cs="Times New Roman" w:eastAsia="Times New Roman" w:hAnsi="Times New Roman"/>
          <w:sz w:val="14"/>
          <w:szCs w:val="14"/>
          <w:color w:val="auto"/>
        </w:rPr>
      </w:pPr>
    </w:p>
    <w:p>
      <w:pPr>
        <w:ind w:left="2580" w:hanging="227"/>
        <w:spacing w:after="0"/>
        <w:tabs>
          <w:tab w:leader="none" w:pos="258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B Units held by Continuing Incentive Unitholders were converted into Incentive Units;</w:t>
      </w:r>
    </w:p>
    <w:p>
      <w:pPr>
        <w:spacing w:after="0" w:line="98" w:lineRule="exact"/>
        <w:rPr>
          <w:rFonts w:ascii="Times New Roman" w:cs="Times New Roman" w:eastAsia="Times New Roman" w:hAnsi="Times New Roman"/>
          <w:sz w:val="14"/>
          <w:szCs w:val="14"/>
          <w:color w:val="auto"/>
        </w:rPr>
      </w:pPr>
    </w:p>
    <w:p>
      <w:pPr>
        <w:ind w:left="2280" w:right="819" w:hanging="415"/>
        <w:spacing w:after="0" w:line="278" w:lineRule="auto"/>
        <w:tabs>
          <w:tab w:leader="none" w:pos="22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Continuing Common Unitholders received the number of shares of Class B common stock of Medline Inc. equivalent to the number of Common Units held by each such Continuing Common Unitholder; and</w:t>
      </w:r>
    </w:p>
    <w:p>
      <w:pPr>
        <w:spacing w:after="0" w:line="53" w:lineRule="exact"/>
        <w:rPr>
          <w:rFonts w:ascii="Times New Roman" w:cs="Times New Roman" w:eastAsia="Times New Roman" w:hAnsi="Times New Roman"/>
          <w:sz w:val="14"/>
          <w:szCs w:val="14"/>
          <w:color w:val="auto"/>
        </w:rPr>
      </w:pPr>
    </w:p>
    <w:p>
      <w:pPr>
        <w:ind w:left="2280" w:hanging="415"/>
        <w:spacing w:after="0"/>
        <w:tabs>
          <w:tab w:leader="none" w:pos="22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A Units, CUPI Units, and Class B Units that are not reclassified as set forth in (2) above were treated as follows:</w:t>
      </w:r>
    </w:p>
    <w:p>
      <w:pPr>
        <w:spacing w:after="0" w:line="98" w:lineRule="exact"/>
        <w:rPr>
          <w:rFonts w:ascii="Times New Roman" w:cs="Times New Roman" w:eastAsia="Times New Roman" w:hAnsi="Times New Roman"/>
          <w:sz w:val="14"/>
          <w:szCs w:val="14"/>
          <w:color w:val="auto"/>
        </w:rPr>
      </w:pPr>
    </w:p>
    <w:p>
      <w:pPr>
        <w:ind w:left="2580" w:right="699" w:hanging="227"/>
        <w:spacing w:after="0" w:line="278" w:lineRule="auto"/>
        <w:tabs>
          <w:tab w:leader="none" w:pos="258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A Units held by Exchanging Class A Unitholders were directly or indirectly exchanged for shares of Class A common stock;</w:t>
      </w:r>
    </w:p>
    <w:p>
      <w:pPr>
        <w:spacing w:after="0" w:line="53" w:lineRule="exact"/>
        <w:rPr>
          <w:rFonts w:ascii="Times New Roman" w:cs="Times New Roman" w:eastAsia="Times New Roman" w:hAnsi="Times New Roman"/>
          <w:sz w:val="14"/>
          <w:szCs w:val="14"/>
          <w:color w:val="auto"/>
        </w:rPr>
      </w:pPr>
    </w:p>
    <w:p>
      <w:pPr>
        <w:ind w:left="2580" w:right="579" w:hanging="227"/>
        <w:spacing w:after="0" w:line="278" w:lineRule="auto"/>
        <w:tabs>
          <w:tab w:leader="none" w:pos="258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CUPI Units held by Exchanging CUPI Unitholders were directly or indirectly exchanged for shares of Class A common stock; and</w:t>
      </w:r>
    </w:p>
    <w:p>
      <w:pPr>
        <w:spacing w:after="0" w:line="53" w:lineRule="exact"/>
        <w:rPr>
          <w:rFonts w:ascii="Times New Roman" w:cs="Times New Roman" w:eastAsia="Times New Roman" w:hAnsi="Times New Roman"/>
          <w:sz w:val="14"/>
          <w:szCs w:val="14"/>
          <w:color w:val="auto"/>
        </w:rPr>
      </w:pPr>
    </w:p>
    <w:p>
      <w:pPr>
        <w:ind w:left="2580" w:right="599" w:hanging="227"/>
        <w:spacing w:after="0" w:line="263" w:lineRule="auto"/>
        <w:tabs>
          <w:tab w:leader="none" w:pos="258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B Units held by Exchanging Class B Unitholders will be directly or indirectly exchanged for shares of Class A common stock (in the case of vested Class B Units) and/or restricted shares of Class A common stock (in the case of unvested Class B Units).</w:t>
      </w:r>
    </w:p>
    <w:p>
      <w:pPr>
        <w:spacing w:after="0" w:line="136" w:lineRule="exact"/>
        <w:rPr>
          <w:sz w:val="20"/>
          <w:szCs w:val="20"/>
          <w:color w:val="auto"/>
        </w:rPr>
      </w:pPr>
    </w:p>
    <w:p>
      <w:pPr>
        <w:ind w:left="1540" w:right="439" w:firstLine="328"/>
        <w:spacing w:after="0" w:line="255" w:lineRule="auto"/>
        <w:rPr>
          <w:sz w:val="20"/>
          <w:szCs w:val="20"/>
          <w:color w:val="auto"/>
        </w:rPr>
      </w:pPr>
      <w:r>
        <w:rPr>
          <w:rFonts w:ascii="Times New Roman" w:cs="Times New Roman" w:eastAsia="Times New Roman" w:hAnsi="Times New Roman"/>
          <w:sz w:val="14"/>
          <w:szCs w:val="14"/>
          <w:color w:val="auto"/>
        </w:rPr>
        <w:t>Incentive Units received by Continuing Incentive Unitholders upon conversion of their Class B Units generally vest in equal annual installments over a period of five years from the date of grant, subject to the holder’s continued employment through the applicable vesting date. In addition, certain Incentive Units held by certain of our executive officers vest based on achievement of performance metrics tied to multiples of our Sponsors’ invested capital in Medline Holdings. See “Part III—Item 11—Executive Compensation” in our 2025 Form 10-K incorporated by reference in this prospectus. The Incentive Units are referred to as “Time-Vested Units” and “Performance-Vested Units” in such table.</w:t>
      </w:r>
    </w:p>
    <w:p>
      <w:pPr>
        <w:spacing w:after="0" w:line="23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0159"/>
          </w:cols>
          <w:pgMar w:left="300" w:top="383"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46215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393690" cy="4621530"/>
                    </a:xfrm>
                    <a:prstGeom prst="rect">
                      <a:avLst/>
                    </a:prstGeom>
                    <a:noFill/>
                  </pic:spPr>
                </pic:pic>
              </a:graphicData>
            </a:graphic>
          </wp:anchor>
        </w:drawing>
      </w:r>
    </w:p>
    <w:p>
      <w:pPr>
        <w:spacing w:after="0" w:line="362" w:lineRule="exact"/>
        <w:rPr>
          <w:sz w:val="20"/>
          <w:szCs w:val="20"/>
          <w:color w:val="auto"/>
        </w:rPr>
      </w:pPr>
    </w:p>
    <w:p>
      <w:pPr>
        <w:ind w:left="1540" w:right="439" w:firstLine="328"/>
        <w:spacing w:after="0" w:line="251" w:lineRule="auto"/>
        <w:rPr>
          <w:sz w:val="20"/>
          <w:szCs w:val="20"/>
          <w:color w:val="auto"/>
        </w:rPr>
      </w:pPr>
      <w:r>
        <w:rPr>
          <w:rFonts w:ascii="Times New Roman" w:cs="Times New Roman" w:eastAsia="Times New Roman" w:hAnsi="Times New Roman"/>
          <w:sz w:val="14"/>
          <w:szCs w:val="14"/>
          <w:color w:val="auto"/>
        </w:rPr>
        <w:t>Subject to certain restrictions, pursuant to the terms of the amended and restated limited partnership agreement of Medline Holdings, the holders of vested Incentive Units have the right to convert their vested Incentive Units into a number of Common Units of Medline Holdings that will generally be equal to (a) the product of the number of vested Incentive Units to be converted with a given per unit participation threshold and then-current difference between the per unit value of a Common Unit at the time of the conversion (based on the public trading price of a share of Class A common stock) and the per unit participation threshold of such vested Incentive Units divided by (b) the per unit value of a Common Unit at the time of the conversion (based on the public trading price of a share of Class A common stock), subject to certain adjustments. Common Units received upon conversion are exchangeable on a one-for-one basis for shares of Class A common stock of Medline Inc. in accordance with the terms of the exchange agreement. An unvested Incentive Unit is not exchangeable unless and until such Incentive Unit vests. See “Part III—Item 13—Certain Relationships and Related Transactions, and Director Independence” in our 2025 Form 10-K incorporated by reference in this prospectus.</w:t>
      </w:r>
    </w:p>
    <w:p>
      <w:pPr>
        <w:spacing w:after="0" w:line="146" w:lineRule="exact"/>
        <w:rPr>
          <w:sz w:val="20"/>
          <w:szCs w:val="20"/>
          <w:color w:val="auto"/>
        </w:rPr>
      </w:pPr>
    </w:p>
    <w:p>
      <w:pPr>
        <w:ind w:left="1540" w:right="419" w:firstLine="328"/>
        <w:spacing w:after="0" w:line="277" w:lineRule="auto"/>
        <w:rPr>
          <w:sz w:val="20"/>
          <w:szCs w:val="20"/>
          <w:color w:val="auto"/>
        </w:rPr>
      </w:pPr>
      <w:r>
        <w:rPr>
          <w:rFonts w:ascii="Times New Roman" w:cs="Times New Roman" w:eastAsia="Times New Roman" w:hAnsi="Times New Roman"/>
          <w:sz w:val="13"/>
          <w:szCs w:val="13"/>
          <w:color w:val="auto"/>
        </w:rPr>
        <w:t>We granted options to purchase shares of Class A common stock under the Omnibus Incentive Plan (as defined herein) to certain Exchanging Class B Unitholders in substitution for a portion of the economic benefit to which the Class B Units were entitled prior to the IPO that was not reflected in the exchange of Class B Units to shares of Class A common stock. In addition, we granted restricted stock units (“RSUs”) in respect of Class A common stock to certain Exchanging Unitholders to compensate them for the loss of opportunity to participate in the tax receivable agreement in which they would have had the opportunity to participate had their units not been exchanged for shares of Class A common stock. See “Organizational Structure—Reclassification and Amendment and Restatement of the Limited Partnership Agreement of Medline Holdings.”</w:t>
      </w:r>
    </w:p>
    <w:p>
      <w:pPr>
        <w:spacing w:after="0" w:line="129" w:lineRule="exact"/>
        <w:rPr>
          <w:sz w:val="20"/>
          <w:szCs w:val="20"/>
          <w:color w:val="auto"/>
        </w:rPr>
      </w:pPr>
    </w:p>
    <w:p>
      <w:pPr>
        <w:ind w:left="1540" w:right="459" w:firstLine="328"/>
        <w:spacing w:after="0" w:line="252" w:lineRule="auto"/>
        <w:rPr>
          <w:sz w:val="20"/>
          <w:szCs w:val="20"/>
          <w:color w:val="auto"/>
        </w:rPr>
      </w:pPr>
      <w:r>
        <w:rPr>
          <w:rFonts w:ascii="Times New Roman" w:cs="Times New Roman" w:eastAsia="Times New Roman" w:hAnsi="Times New Roman"/>
          <w:sz w:val="14"/>
          <w:szCs w:val="14"/>
          <w:color w:val="auto"/>
        </w:rPr>
        <w:t>We and the Continuing Unitholders also entered into an exchange agreement under which they (or certain permitted transferees) have the right (subject to the terms of the exchange agreement) to exchange their Common Units (including Common Units issued upon conversion of vested Incentive Units) for shares of our Class A common stock on a one-for-one basis, subject to customary conversion rate adjustments for stock splits, stock dividends and reclassifications, whereupon an equivalent number of shares of Class B common stock held by each such Continuing Unitholder will be automatically transferred to us and cancelled and retired upon any such exchange. For a description of the amended and restated limited partnership agreement of Medline Holdings and the exchange agreement, please read “Organizational Structure” included elsewhere in this prospectus and “Part III—Item 13—Certain Relationships and Related Transactions, and Director Independence” in our 2025 Form 10-K incorporated by reference in this prospectus.</w:t>
      </w:r>
    </w:p>
    <w:p>
      <w:pPr>
        <w:spacing w:after="0" w:line="145" w:lineRule="exact"/>
        <w:rPr>
          <w:sz w:val="20"/>
          <w:szCs w:val="20"/>
          <w:color w:val="auto"/>
        </w:rPr>
      </w:pPr>
    </w:p>
    <w:p>
      <w:pPr>
        <w:ind w:left="1540" w:right="519" w:firstLine="328"/>
        <w:spacing w:after="0" w:line="251" w:lineRule="auto"/>
        <w:rPr>
          <w:sz w:val="20"/>
          <w:szCs w:val="20"/>
          <w:color w:val="auto"/>
        </w:rPr>
      </w:pPr>
      <w:r>
        <w:rPr>
          <w:rFonts w:ascii="Times New Roman" w:cs="Times New Roman" w:eastAsia="Times New Roman" w:hAnsi="Times New Roman"/>
          <w:sz w:val="14"/>
          <w:szCs w:val="14"/>
          <w:color w:val="auto"/>
        </w:rPr>
        <w:t>Following the IPO, Continuing Common Unitholders held all of the outstanding shares of our Class B common stock, and, upon conversion of vested Incentive Units for Common Units, the converting holders will also receive an equivalent number of shares of Class B common stock. The shares of Class B common stock have no economic rights but entitle each holder to one vote for each share held of record on all matters to be voted on by stockholders generally, with the number of shares of Class B common stock held by each Continuing Unitholder being equivalent to the number of Common Units held by each such Continuing Unitholder. If at any time the ratio at which Common Units are exchangeable for shares of Class A common stock of Medline Inc. changes from one- for-one as described under “Part III—Item 13—Certain Relationships and Related Transactions, and Director Independence” in our 2025 Form 10-K incorporated by reference in this prospectus, the number of votes to which Class B common stockholders are entitled will be adjusted accordingly. Holders of shares of our Class B common stock vote together with holders of our Class A common stock as a single class on all matters on which stockholders are entitled to vote generally, except as otherwise required by law.</w:t>
      </w:r>
    </w:p>
    <w:p>
      <w:pPr>
        <w:spacing w:after="0" w:line="146" w:lineRule="exact"/>
        <w:rPr>
          <w:sz w:val="20"/>
          <w:szCs w:val="20"/>
          <w:color w:val="auto"/>
        </w:rPr>
      </w:pPr>
    </w:p>
    <w:p>
      <w:pPr>
        <w:ind w:left="1540" w:right="419" w:firstLine="328"/>
        <w:spacing w:after="0" w:line="258" w:lineRule="auto"/>
        <w:rPr>
          <w:sz w:val="20"/>
          <w:szCs w:val="20"/>
          <w:color w:val="auto"/>
        </w:rPr>
      </w:pPr>
      <w:r>
        <w:rPr>
          <w:rFonts w:ascii="Times New Roman" w:cs="Times New Roman" w:eastAsia="Times New Roman" w:hAnsi="Times New Roman"/>
          <w:sz w:val="14"/>
          <w:szCs w:val="14"/>
          <w:color w:val="auto"/>
        </w:rPr>
        <w:t>Prior to the completion of our IPO, we entered into a tax receivable agreement with certain of our pre-IPO owners that provides for the payment by Medline Inc. to such pre-IPO owners of 90% of certain tax benefits, if any, that Medline Inc. actually realizes, or is deemed to realize (calculated using certain assumptions), as a result of (i) Medline Inc.’s allocable share of the existing tax basis in Medline Holdings’ assets acquired in our IPO, (ii) increases in Medline Inc.’s</w:t>
      </w:r>
    </w:p>
    <w:p>
      <w:pPr>
        <w:spacing w:after="0" w:line="23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0159"/>
          </w:cols>
          <w:pgMar w:left="300" w:top="383"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46215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393690" cy="4621530"/>
                    </a:xfrm>
                    <a:prstGeom prst="rect">
                      <a:avLst/>
                    </a:prstGeom>
                    <a:noFill/>
                  </pic:spPr>
                </pic:pic>
              </a:graphicData>
            </a:graphic>
          </wp:anchor>
        </w:drawing>
      </w:r>
    </w:p>
    <w:p>
      <w:pPr>
        <w:spacing w:after="0" w:line="362" w:lineRule="exact"/>
        <w:rPr>
          <w:sz w:val="20"/>
          <w:szCs w:val="20"/>
          <w:color w:val="auto"/>
        </w:rPr>
      </w:pPr>
    </w:p>
    <w:p>
      <w:pPr>
        <w:ind w:left="1540" w:right="699"/>
        <w:spacing w:after="0" w:line="275" w:lineRule="auto"/>
        <w:rPr>
          <w:sz w:val="20"/>
          <w:szCs w:val="20"/>
          <w:color w:val="auto"/>
        </w:rPr>
      </w:pPr>
      <w:r>
        <w:rPr>
          <w:rFonts w:ascii="Times New Roman" w:cs="Times New Roman" w:eastAsia="Times New Roman" w:hAnsi="Times New Roman"/>
          <w:sz w:val="13"/>
          <w:szCs w:val="13"/>
          <w:color w:val="auto"/>
        </w:rPr>
        <w:t>allocable share of existing tax basis and tax basis adjustments to the tangible and intangible assets of Medline Holdings as a result of sales or exchanges of Common Units (including Common Units issued upon conversion of vested Incentive Units) in connection with or after our IPO, including the exchange of Common Units for shares of our Class A common stock by the selling stockholders in connection with this offering,</w:t>
      </w:r>
    </w:p>
    <w:p>
      <w:pPr>
        <w:ind w:left="1540" w:right="459" w:firstLine="2"/>
        <w:spacing w:after="0" w:line="248" w:lineRule="auto"/>
        <w:tabs>
          <w:tab w:leader="none" w:pos="178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Medline Inc.’s utilization of certain tax attributes (including any existing tax basis) of certain entities that are taxable as corporations for U.S. federal income tax purposes through which the Pre-IPO Stockholders hold their interests in Medline Holdings prior to the Offering Transactions (the “Blocker Companies”), which Medline Inc. acquired in connection with our IPO as described under “Organizational Structure—Blocker Transfers,” and (iv) certain other tax benefits related to entering into the tax receivable agreement, including tax benefits attributable to payments under the tax receivable agreement. This payment obligation is an obligation of Medline Inc. and not of Medline Holdings. Payments under the tax receivable agreement are generally due annually five business days following finalization of a schedule showing the relevant tax benefit calculations that is required to be delivered by Medline Inc. within 120 calendar days following the due date (including extensions) of its U.S. corporation income tax return, and interest on such payments will accrue from the due date (without extensions) of such tax return. The term of the tax receivable agreement will continue until all such tax benefits have been utilized or expired, and payments thereunder are not conditioned upon continued ownership of us by the pre-IPO owners. At March 28, 2026, we had recorded on our consolidated balance sheets a tax receivable agreement liability of $4,021 million. Assuming: (i) a price of $37.70 per share of our Class A common stock (the closing sales price of our shares of Class A common stock on May 19, 2026 as reported on Nasdaq); (ii) a constant corporate tax rate of 25.7%; (iii) we will have sufficient taxable income to fully utilize the tax benefits; and (iv) no material changes in tax law, if the Continuing Unitholders were to exchange all of the Common Units that they hold (including as part of this offering), and, assuming all Incentive Units are converted to Common Units and subsequently exchanged for shares of Class A common stock, we estimate that we would, as a result of such hypothetical exchange (including as part of this offering), have incremental tax benefits related to attributes covered by the tax receivable agreement of approximately $6,418 million and increase the aggregate noncurrent tax receivable agreement liability recorded, based on our estimate of the aggregate amount that Medline Inc. would pay under the tax receivable agreement, to approximately $5,777 million, generally payable over a 15-year period. These amounts are estimates and have been prepared for informational purposes only. The actual amount of tax benefits related to attributes covered by the tax receivable agreement and related noncurrent liabilities that we will recognize as a result of any such future exchanges will differ based on, among other things: (i) the amount and timing of future exchanges of Common Units (including Common Units issued upon conversion of vested Incentive Units) by Continuing Unitholders, and the extent to which such exchanges are taxable; (ii) the price per share of our Class A common stock at the time of the exchanges; (iii) the amount and timing of future income against which to offset the tax benefits; and (iv) the tax rates then in effect. See “Part III— Item 13—Certain Relationships and Related Transactions, and Director Independence” in our 2025 Form 10-K incorporated by reference in this prospectus.</w:t>
      </w:r>
    </w:p>
    <w:p>
      <w:pPr>
        <w:spacing w:after="0" w:line="152" w:lineRule="exact"/>
        <w:rPr>
          <w:sz w:val="20"/>
          <w:szCs w:val="20"/>
          <w:color w:val="auto"/>
        </w:rPr>
      </w:pPr>
    </w:p>
    <w:p>
      <w:pPr>
        <w:ind w:left="1540" w:right="479" w:firstLine="328"/>
        <w:spacing w:after="0" w:line="253" w:lineRule="auto"/>
        <w:rPr>
          <w:sz w:val="20"/>
          <w:szCs w:val="20"/>
          <w:color w:val="auto"/>
        </w:rPr>
      </w:pPr>
      <w:r>
        <w:rPr>
          <w:rFonts w:ascii="Times New Roman" w:cs="Times New Roman" w:eastAsia="Times New Roman" w:hAnsi="Times New Roman"/>
          <w:sz w:val="14"/>
          <w:szCs w:val="14"/>
          <w:color w:val="auto"/>
        </w:rPr>
        <w:t>Our organizational structure, as described above, is commonly referred to as an umbrella partnership-C-corporation (“UP-C”) structure. This organizational structure allows the Continuing Unitholders to retain their equity ownership in Medline Holdings, an entity that is classified as a partnership for U.S. federal income tax purposes, in the form of Units. Investors in the IPO and this offering, the Pre-IPO Stockholders, and the Exchanging Unitholders, by contrast, hold their equity ownership in Medline Inc., a Delaware corporation that is a domestic corporation for U.S. federal income tax purposes, in the form of shares of Class A common stock. We believe that the Continuing Unitholders generally find it advantageous to continue to hold their equity interests in an entity that is not taxable as a corporation for U.S. federal income tax purposes. We do not believe that our UP-C organizational structure gives rise to any significant business or strategic benefit or detriment to us.</w:t>
      </w:r>
    </w:p>
    <w:p>
      <w:pPr>
        <w:spacing w:after="0" w:line="143" w:lineRule="exact"/>
        <w:rPr>
          <w:sz w:val="20"/>
          <w:szCs w:val="20"/>
          <w:color w:val="auto"/>
        </w:rPr>
      </w:pPr>
    </w:p>
    <w:p>
      <w:pPr>
        <w:ind w:left="1540" w:right="439" w:firstLine="328"/>
        <w:spacing w:after="0" w:line="255" w:lineRule="auto"/>
        <w:rPr>
          <w:sz w:val="20"/>
          <w:szCs w:val="20"/>
          <w:color w:val="auto"/>
        </w:rPr>
      </w:pPr>
      <w:r>
        <w:rPr>
          <w:rFonts w:ascii="Times New Roman" w:cs="Times New Roman" w:eastAsia="Times New Roman" w:hAnsi="Times New Roman"/>
          <w:sz w:val="14"/>
          <w:szCs w:val="14"/>
          <w:color w:val="auto"/>
        </w:rPr>
        <w:t>The Reorganization Transactions lacked economic substance and therefore were accounted for in a manner consistent with a reorganization of entities under common control. As a result, the consolidated financial statements of Medline Inc. recognize the assets and liabilities received in the reorganization at their historical carrying amounts, as reflected in the historical consolidated financial statements of Medline Holdings. Medline Inc. consolidates Medline Holdings in its consolidated financial statements and records a non-controlling interest related to the Units held by the Continuing Unitholders on its consolidated balance sheet and statement of income.</w:t>
      </w:r>
    </w:p>
    <w:p>
      <w:pPr>
        <w:spacing w:after="0" w:line="23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0159"/>
          </w:cols>
          <w:pgMar w:left="300" w:top="383"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52882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393690" cy="5288280"/>
                    </a:xfrm>
                    <a:prstGeom prst="rect">
                      <a:avLst/>
                    </a:prstGeom>
                    <a:noFill/>
                  </pic:spPr>
                </pic:pic>
              </a:graphicData>
            </a:graphic>
          </wp:anchor>
        </w:drawing>
      </w:r>
    </w:p>
    <w:p>
      <w:pPr>
        <w:spacing w:after="0" w:line="362" w:lineRule="exact"/>
        <w:rPr>
          <w:sz w:val="20"/>
          <w:szCs w:val="20"/>
          <w:color w:val="auto"/>
        </w:rPr>
      </w:pPr>
    </w:p>
    <w:p>
      <w:pPr>
        <w:ind w:left="1540" w:right="739" w:firstLine="328"/>
        <w:spacing w:after="0" w:line="278" w:lineRule="auto"/>
        <w:rPr>
          <w:sz w:val="20"/>
          <w:szCs w:val="20"/>
          <w:color w:val="auto"/>
        </w:rPr>
      </w:pPr>
      <w:r>
        <w:rPr>
          <w:rFonts w:ascii="Times New Roman" w:cs="Times New Roman" w:eastAsia="Times New Roman" w:hAnsi="Times New Roman"/>
          <w:sz w:val="14"/>
          <w:szCs w:val="14"/>
          <w:color w:val="auto"/>
        </w:rPr>
        <w:t>The simplified diagram below depicts our organizational structure immediately after our IPO and this offering, after giving effect to this offering. For additional detail, see “Organizational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1"/>
          <w:szCs w:val="11"/>
          <w:i w:val="1"/>
          <w:iCs w:val="1"/>
          <w:color w:val="auto"/>
        </w:rPr>
        <w:t>Note: Certain intermediate holding companies that are not material to this offering have been omitted from the structure chart.</w:t>
      </w:r>
    </w:p>
    <w:p>
      <w:pPr>
        <w:spacing w:after="0" w:line="83" w:lineRule="exact"/>
        <w:rPr>
          <w:sz w:val="20"/>
          <w:szCs w:val="20"/>
          <w:color w:val="auto"/>
        </w:rPr>
      </w:pPr>
    </w:p>
    <w:p>
      <w:pPr>
        <w:ind w:left="1860" w:right="639" w:hanging="318"/>
        <w:spacing w:after="0" w:line="228" w:lineRule="auto"/>
        <w:tabs>
          <w:tab w:leader="none" w:pos="1860" w:val="left"/>
        </w:tabs>
        <w:numPr>
          <w:ilvl w:val="0"/>
          <w:numId w:val="1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Each share of our Class A common stock and Class B common stock entitles its holder to one vote on all matters to be voted on by the stockholders generally. For additional information, see “Description of Capital Stock—Common Stock.”</w:t>
      </w:r>
    </w:p>
    <w:p>
      <w:pPr>
        <w:ind w:left="1860" w:right="479" w:hanging="318"/>
        <w:spacing w:after="0" w:line="223" w:lineRule="auto"/>
        <w:tabs>
          <w:tab w:leader="none" w:pos="1860" w:val="left"/>
        </w:tabs>
        <w:numPr>
          <w:ilvl w:val="0"/>
          <w:numId w:val="1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As of May 4, 2026 (assuming the $44.19 closing sales price per share of our Class A common stock on such date as reported on Nasdaq), 26,107,492 shares of Class A common stock would be issuable upon the exchange of an equivalent number of Common Units into which Incentive Units held by the Continuing Incentive Unitholders may be converted (assuming such Incentive Units are fully vested and converted to Common Units). For additional information, see “Organizational Structure—Reclassification and Amendment and Restatement of the Limited Partnership Agreement of Medline Holdings” included elsewhere in this prospectus and “Part III—Item 13—Certain Relationships and Related Transactions, and Director Independence” in our 2025 Form 10-K incorporated by reference in this prospectus.</w:t>
      </w:r>
    </w:p>
    <w:p>
      <w:pPr>
        <w:spacing w:after="0" w:line="3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Investment Risks</w:t>
      </w:r>
    </w:p>
    <w:p>
      <w:pPr>
        <w:spacing w:after="0" w:line="174" w:lineRule="exact"/>
        <w:rPr>
          <w:sz w:val="20"/>
          <w:szCs w:val="20"/>
          <w:color w:val="auto"/>
        </w:rPr>
      </w:pPr>
    </w:p>
    <w:p>
      <w:pPr>
        <w:ind w:left="1540" w:right="519" w:firstLine="328"/>
        <w:spacing w:after="0" w:line="263" w:lineRule="auto"/>
        <w:rPr>
          <w:sz w:val="20"/>
          <w:szCs w:val="20"/>
          <w:color w:val="auto"/>
        </w:rPr>
      </w:pPr>
      <w:r>
        <w:rPr>
          <w:rFonts w:ascii="Times New Roman" w:cs="Times New Roman" w:eastAsia="Times New Roman" w:hAnsi="Times New Roman"/>
          <w:sz w:val="14"/>
          <w:szCs w:val="14"/>
          <w:color w:val="auto"/>
        </w:rPr>
        <w:t>An investment in shares of our Class A common stock involves substantial risks and uncertainties that may materially adversely affect our business, financial condition, and results of operations and cash flows. Some of the more significant challenges and risks relating to an investment in our company include, among other things, the following:</w:t>
      </w:r>
    </w:p>
    <w:p>
      <w:pPr>
        <w:spacing w:after="0" w:line="63" w:lineRule="exact"/>
        <w:rPr>
          <w:sz w:val="20"/>
          <w:szCs w:val="20"/>
          <w:color w:val="auto"/>
        </w:rPr>
      </w:pPr>
    </w:p>
    <w:p>
      <w:pPr>
        <w:ind w:left="2260" w:right="739" w:hanging="312"/>
        <w:spacing w:after="0" w:line="278" w:lineRule="auto"/>
        <w:tabs>
          <w:tab w:leader="none" w:pos="22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rely on the proper function, security and availability of our information technology systems and data, as well as those of third parties throughout our global supply chain, to operate our business.</w:t>
      </w:r>
    </w:p>
    <w:p>
      <w:pPr>
        <w:spacing w:after="0" w:line="53" w:lineRule="exact"/>
        <w:rPr>
          <w:rFonts w:ascii="Times New Roman" w:cs="Times New Roman" w:eastAsia="Times New Roman" w:hAnsi="Times New Roman"/>
          <w:sz w:val="14"/>
          <w:szCs w:val="14"/>
          <w:color w:val="auto"/>
        </w:rPr>
      </w:pPr>
    </w:p>
    <w:p>
      <w:pPr>
        <w:ind w:left="2260" w:right="879" w:hanging="312"/>
        <w:spacing w:after="0" w:line="278" w:lineRule="auto"/>
        <w:tabs>
          <w:tab w:leader="none" w:pos="22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global operations are subject to inherent risks that could materially adversely affect our business, results of operations and financial condition.</w:t>
      </w:r>
    </w:p>
    <w:p>
      <w:pPr>
        <w:spacing w:after="0" w:line="53" w:lineRule="exact"/>
        <w:rPr>
          <w:rFonts w:ascii="Times New Roman" w:cs="Times New Roman" w:eastAsia="Times New Roman" w:hAnsi="Times New Roman"/>
          <w:sz w:val="14"/>
          <w:szCs w:val="14"/>
          <w:color w:val="auto"/>
        </w:rPr>
      </w:pPr>
    </w:p>
    <w:p>
      <w:pPr>
        <w:ind w:left="2260" w:right="899" w:hanging="312"/>
        <w:spacing w:after="0" w:line="318" w:lineRule="auto"/>
        <w:tabs>
          <w:tab w:leader="none" w:pos="226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are subject to extensive and complex laws and governmental regulations and any adverse regulatory action may materially adversely affect our business, results of operations and financial condition both inside and outside the United States.</w:t>
      </w:r>
    </w:p>
    <w:p>
      <w:pPr>
        <w:spacing w:after="0" w:line="18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0159"/>
          </w:cols>
          <w:pgMar w:left="300" w:top="383"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47929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393690" cy="4792980"/>
                    </a:xfrm>
                    <a:prstGeom prst="rect">
                      <a:avLst/>
                    </a:prstGeom>
                    <a:noFill/>
                  </pic:spPr>
                </pic:pic>
              </a:graphicData>
            </a:graphic>
          </wp:anchor>
        </w:drawing>
      </w:r>
    </w:p>
    <w:p>
      <w:pPr>
        <w:spacing w:after="0" w:line="362" w:lineRule="exact"/>
        <w:rPr>
          <w:sz w:val="20"/>
          <w:szCs w:val="20"/>
          <w:color w:val="auto"/>
        </w:rPr>
      </w:pPr>
    </w:p>
    <w:p>
      <w:pPr>
        <w:ind w:left="2260" w:right="1079" w:hanging="312"/>
        <w:spacing w:after="0" w:line="278" w:lineRule="auto"/>
        <w:tabs>
          <w:tab w:leader="none" w:pos="22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extensive environmental, health and safety requirements, and our operations involve hazardous and other environmentally sensitive substances.</w:t>
      </w:r>
    </w:p>
    <w:p>
      <w:pPr>
        <w:spacing w:after="0" w:line="53" w:lineRule="exact"/>
        <w:rPr>
          <w:rFonts w:ascii="Times New Roman" w:cs="Times New Roman" w:eastAsia="Times New Roman" w:hAnsi="Times New Roman"/>
          <w:sz w:val="14"/>
          <w:szCs w:val="14"/>
          <w:color w:val="auto"/>
        </w:rPr>
      </w:pPr>
    </w:p>
    <w:p>
      <w:pPr>
        <w:ind w:left="2260" w:right="939" w:hanging="312"/>
        <w:spacing w:after="0" w:line="278" w:lineRule="auto"/>
        <w:tabs>
          <w:tab w:leader="none" w:pos="22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derive fully the anticipated benefits from our existing or future acquisitions, joint ventures, investments, dispositions, or other strategic transactions.</w:t>
      </w:r>
    </w:p>
    <w:p>
      <w:pPr>
        <w:spacing w:after="0" w:line="53" w:lineRule="exact"/>
        <w:rPr>
          <w:rFonts w:ascii="Times New Roman" w:cs="Times New Roman" w:eastAsia="Times New Roman" w:hAnsi="Times New Roman"/>
          <w:sz w:val="14"/>
          <w:szCs w:val="14"/>
          <w:color w:val="auto"/>
        </w:rPr>
      </w:pPr>
    </w:p>
    <w:p>
      <w:pPr>
        <w:ind w:left="2260" w:hanging="312"/>
        <w:spacing w:after="0"/>
        <w:tabs>
          <w:tab w:leader="none" w:pos="22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Consolidation in the healthcare industry could have an adverse effect on our business, results of operations and financial condition.</w:t>
      </w:r>
    </w:p>
    <w:p>
      <w:pPr>
        <w:spacing w:after="0" w:line="98" w:lineRule="exact"/>
        <w:rPr>
          <w:rFonts w:ascii="Times New Roman" w:cs="Times New Roman" w:eastAsia="Times New Roman" w:hAnsi="Times New Roman"/>
          <w:sz w:val="14"/>
          <w:szCs w:val="14"/>
          <w:color w:val="auto"/>
        </w:rPr>
      </w:pPr>
    </w:p>
    <w:p>
      <w:pPr>
        <w:ind w:left="2260" w:hanging="312"/>
        <w:spacing w:after="0"/>
        <w:tabs>
          <w:tab w:leader="none" w:pos="22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Foreign currency exchange rate fluctuations could have a significant impact on our results of operations.</w:t>
      </w:r>
    </w:p>
    <w:p>
      <w:pPr>
        <w:spacing w:after="0" w:line="98" w:lineRule="exact"/>
        <w:rPr>
          <w:rFonts w:ascii="Times New Roman" w:cs="Times New Roman" w:eastAsia="Times New Roman" w:hAnsi="Times New Roman"/>
          <w:sz w:val="14"/>
          <w:szCs w:val="14"/>
          <w:color w:val="auto"/>
        </w:rPr>
      </w:pPr>
    </w:p>
    <w:p>
      <w:pPr>
        <w:ind w:left="2260" w:hanging="312"/>
        <w:spacing w:after="0"/>
        <w:tabs>
          <w:tab w:leader="none" w:pos="22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profitability and cash flows may be adversely affected by inflationary pressures.</w:t>
      </w:r>
    </w:p>
    <w:p>
      <w:pPr>
        <w:spacing w:after="0" w:line="98" w:lineRule="exact"/>
        <w:rPr>
          <w:rFonts w:ascii="Times New Roman" w:cs="Times New Roman" w:eastAsia="Times New Roman" w:hAnsi="Times New Roman"/>
          <w:sz w:val="14"/>
          <w:szCs w:val="14"/>
          <w:color w:val="auto"/>
        </w:rPr>
      </w:pPr>
    </w:p>
    <w:p>
      <w:pPr>
        <w:ind w:left="2260" w:right="739" w:hanging="312"/>
        <w:spacing w:after="0" w:line="278" w:lineRule="auto"/>
        <w:tabs>
          <w:tab w:leader="none" w:pos="22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Uncertain global and domestic macro-economic and political conditions could materially adversely affect our business, results of operations and financial condition.</w:t>
      </w:r>
    </w:p>
    <w:p>
      <w:pPr>
        <w:spacing w:after="0" w:line="53" w:lineRule="exact"/>
        <w:rPr>
          <w:rFonts w:ascii="Times New Roman" w:cs="Times New Roman" w:eastAsia="Times New Roman" w:hAnsi="Times New Roman"/>
          <w:sz w:val="14"/>
          <w:szCs w:val="14"/>
          <w:color w:val="auto"/>
        </w:rPr>
      </w:pPr>
    </w:p>
    <w:p>
      <w:pPr>
        <w:ind w:left="2260" w:hanging="312"/>
        <w:spacing w:after="0"/>
        <w:tabs>
          <w:tab w:leader="none" w:pos="22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operate in a highly competitive industry, with accelerating pricing pressure and changes in technology.</w:t>
      </w:r>
    </w:p>
    <w:p>
      <w:pPr>
        <w:spacing w:after="0" w:line="98" w:lineRule="exact"/>
        <w:rPr>
          <w:rFonts w:ascii="Times New Roman" w:cs="Times New Roman" w:eastAsia="Times New Roman" w:hAnsi="Times New Roman"/>
          <w:sz w:val="14"/>
          <w:szCs w:val="14"/>
          <w:color w:val="auto"/>
        </w:rPr>
      </w:pPr>
    </w:p>
    <w:p>
      <w:pPr>
        <w:ind w:left="2260" w:right="539" w:hanging="312"/>
        <w:spacing w:after="0" w:line="278" w:lineRule="auto"/>
        <w:tabs>
          <w:tab w:leader="none" w:pos="22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to comply with anti-corruption laws or trade restrictions, including economic sanctions, could materially adversely affect our business, results of operations and financial condition and result in civil and/or criminal penalties.</w:t>
      </w:r>
    </w:p>
    <w:p>
      <w:pPr>
        <w:spacing w:after="0" w:line="53" w:lineRule="exact"/>
        <w:rPr>
          <w:rFonts w:ascii="Times New Roman" w:cs="Times New Roman" w:eastAsia="Times New Roman" w:hAnsi="Times New Roman"/>
          <w:sz w:val="14"/>
          <w:szCs w:val="14"/>
          <w:color w:val="auto"/>
        </w:rPr>
      </w:pPr>
    </w:p>
    <w:p>
      <w:pPr>
        <w:ind w:left="2260" w:hanging="312"/>
        <w:spacing w:after="0"/>
        <w:tabs>
          <w:tab w:leader="none" w:pos="22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attract, develop and retain key employees.</w:t>
      </w:r>
    </w:p>
    <w:p>
      <w:pPr>
        <w:spacing w:after="0" w:line="98" w:lineRule="exact"/>
        <w:rPr>
          <w:rFonts w:ascii="Times New Roman" w:cs="Times New Roman" w:eastAsia="Times New Roman" w:hAnsi="Times New Roman"/>
          <w:sz w:val="14"/>
          <w:szCs w:val="14"/>
          <w:color w:val="auto"/>
        </w:rPr>
      </w:pPr>
    </w:p>
    <w:p>
      <w:pPr>
        <w:jc w:val="both"/>
        <w:ind w:left="2260" w:right="579" w:hanging="312"/>
        <w:spacing w:after="0" w:line="263" w:lineRule="auto"/>
        <w:tabs>
          <w:tab w:leader="none" w:pos="22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substantial indebtedness could adversely affect our financial condition, our ability to operate our business or react to changes in the economy or our industry, prevent us from fulfilling our obligations under our debts and divert our cash flow from operations for debt payments.</w:t>
      </w:r>
    </w:p>
    <w:p>
      <w:pPr>
        <w:spacing w:after="0" w:line="63" w:lineRule="exact"/>
        <w:rPr>
          <w:rFonts w:ascii="Times New Roman" w:cs="Times New Roman" w:eastAsia="Times New Roman" w:hAnsi="Times New Roman"/>
          <w:sz w:val="14"/>
          <w:szCs w:val="14"/>
          <w:color w:val="auto"/>
        </w:rPr>
      </w:pPr>
    </w:p>
    <w:p>
      <w:pPr>
        <w:ind w:left="2260" w:right="499" w:hanging="312"/>
        <w:spacing w:after="0" w:line="278" w:lineRule="auto"/>
        <w:tabs>
          <w:tab w:leader="none" w:pos="22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Designating Stockholders will continue to hold a significant percentage of our stock, and their interests may conflict with ours or yours in the future.</w:t>
      </w:r>
    </w:p>
    <w:p>
      <w:pPr>
        <w:spacing w:after="0" w:line="126" w:lineRule="exact"/>
        <w:rPr>
          <w:sz w:val="20"/>
          <w:szCs w:val="20"/>
          <w:color w:val="auto"/>
        </w:rPr>
      </w:pPr>
    </w:p>
    <w:p>
      <w:pPr>
        <w:ind w:left="1540" w:right="479" w:firstLine="328"/>
        <w:spacing w:after="0" w:line="278" w:lineRule="auto"/>
        <w:rPr>
          <w:sz w:val="20"/>
          <w:szCs w:val="20"/>
          <w:color w:val="auto"/>
        </w:rPr>
      </w:pPr>
      <w:r>
        <w:rPr>
          <w:rFonts w:ascii="Times New Roman" w:cs="Times New Roman" w:eastAsia="Times New Roman" w:hAnsi="Times New Roman"/>
          <w:sz w:val="14"/>
          <w:szCs w:val="14"/>
          <w:color w:val="auto"/>
        </w:rPr>
        <w:t>Before you invest in our Class A common stock, you should carefully consider all of the information in this prospectus, including matters set forth under the heading “Risk Factors” herein and in our 2025 Form 10-K, which is incorporated by reference in this prospectus.</w:t>
      </w:r>
    </w:p>
    <w:p>
      <w:pPr>
        <w:spacing w:after="0" w:line="29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Corporate History and Information</w:t>
      </w:r>
    </w:p>
    <w:p>
      <w:pPr>
        <w:spacing w:after="0" w:line="174" w:lineRule="exact"/>
        <w:rPr>
          <w:sz w:val="20"/>
          <w:szCs w:val="20"/>
          <w:color w:val="auto"/>
        </w:rPr>
      </w:pPr>
    </w:p>
    <w:p>
      <w:pPr>
        <w:ind w:left="1540" w:right="479" w:firstLine="328"/>
        <w:spacing w:after="0" w:line="255" w:lineRule="auto"/>
        <w:rPr>
          <w:sz w:val="20"/>
          <w:szCs w:val="20"/>
          <w:color w:val="auto"/>
        </w:rPr>
      </w:pPr>
      <w:r>
        <w:rPr>
          <w:rFonts w:ascii="Times New Roman" w:cs="Times New Roman" w:eastAsia="Times New Roman" w:hAnsi="Times New Roman"/>
          <w:sz w:val="14"/>
          <w:szCs w:val="14"/>
          <w:color w:val="auto"/>
        </w:rPr>
        <w:t>Medline has served customers in the healthcare industry for over 50 years. Medline was founded in 1966 by Jim and Jon Mills in Evanston, Illinois. In 1968, we opened our first manufacturing facility. In 1997, Charles N. Mills, Andrew J. Mills, and James D. Abrams, our previous Chief Executive Officer, President, and Chief Operating Officer, respectively, succeeded Jim and Jon to lead the Company and continue its legacy of family management. In October 2021, we entered into a new chapter of our Company’s history and received a majority investment from a partnership comprised of funds managed by Blackstone, Carlyle, and H&amp;F.</w:t>
      </w:r>
    </w:p>
    <w:p>
      <w:pPr>
        <w:spacing w:after="0" w:line="143" w:lineRule="exact"/>
        <w:rPr>
          <w:sz w:val="20"/>
          <w:szCs w:val="20"/>
          <w:color w:val="auto"/>
        </w:rPr>
      </w:pPr>
    </w:p>
    <w:p>
      <w:pPr>
        <w:ind w:left="1540" w:right="599" w:firstLine="328"/>
        <w:spacing w:after="0" w:line="278" w:lineRule="auto"/>
        <w:rPr>
          <w:sz w:val="20"/>
          <w:szCs w:val="20"/>
          <w:color w:val="auto"/>
        </w:rPr>
      </w:pPr>
      <w:r>
        <w:rPr>
          <w:rFonts w:ascii="Times New Roman" w:cs="Times New Roman" w:eastAsia="Times New Roman" w:hAnsi="Times New Roman"/>
          <w:sz w:val="14"/>
          <w:szCs w:val="14"/>
          <w:color w:val="auto"/>
        </w:rPr>
        <w:t>In 2023, as part of a multi-year succession planning process, we elevated Jim Boyle to Chief Executive Officer, with members of the Mills Family continuing to serve on our board.</w:t>
      </w:r>
    </w:p>
    <w:p>
      <w:pPr>
        <w:spacing w:after="0" w:line="126" w:lineRule="exact"/>
        <w:rPr>
          <w:sz w:val="20"/>
          <w:szCs w:val="20"/>
          <w:color w:val="auto"/>
        </w:rPr>
      </w:pPr>
    </w:p>
    <w:p>
      <w:pPr>
        <w:ind w:left="1540" w:right="499" w:firstLine="328"/>
        <w:spacing w:after="0" w:line="258" w:lineRule="auto"/>
        <w:rPr>
          <w:sz w:val="20"/>
          <w:szCs w:val="20"/>
          <w:color w:val="auto"/>
        </w:rPr>
      </w:pPr>
      <w:r>
        <w:rPr>
          <w:rFonts w:ascii="Times New Roman" w:cs="Times New Roman" w:eastAsia="Times New Roman" w:hAnsi="Times New Roman"/>
          <w:sz w:val="14"/>
          <w:szCs w:val="14"/>
          <w:color w:val="auto"/>
        </w:rPr>
        <w:t xml:space="preserve">Medline Inc. was incorporated in Delaware on November 6, 2024. Our principal executive offices are located at 3 Lakes Drive, Northfield, Illinois 60093, and our telephone number is (847) 949-5500. We maintain a website at </w:t>
      </w:r>
      <w:r>
        <w:rPr>
          <w:rFonts w:ascii="Times New Roman" w:cs="Times New Roman" w:eastAsia="Times New Roman" w:hAnsi="Times New Roman"/>
          <w:sz w:val="14"/>
          <w:szCs w:val="14"/>
          <w:i w:val="1"/>
          <w:iCs w:val="1"/>
          <w:color w:val="auto"/>
        </w:rPr>
        <w:t>www.medline.com</w:t>
      </w:r>
      <w:r>
        <w:rPr>
          <w:rFonts w:ascii="Times New Roman" w:cs="Times New Roman" w:eastAsia="Times New Roman" w:hAnsi="Times New Roman"/>
          <w:sz w:val="14"/>
          <w:szCs w:val="14"/>
          <w:color w:val="auto"/>
        </w:rPr>
        <w:t xml:space="preserve">. The reference to our website is intended to be an inactive textual reference only. </w:t>
      </w:r>
      <w:r>
        <w:rPr>
          <w:rFonts w:ascii="Times New Roman" w:cs="Times New Roman" w:eastAsia="Times New Roman" w:hAnsi="Times New Roman"/>
          <w:sz w:val="14"/>
          <w:szCs w:val="14"/>
          <w:b w:val="1"/>
          <w:bCs w:val="1"/>
          <w:color w:val="auto"/>
        </w:rPr>
        <w:t>The information contained on, or that can be accessed through, our website is not part of this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prospectus.</w:t>
      </w:r>
    </w:p>
    <w:p>
      <w:pPr>
        <w:spacing w:after="0" w:line="23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0159"/>
          </w:cols>
          <w:pgMar w:left="300" w:top="383"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45288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393690" cy="4528820"/>
                    </a:xfrm>
                    <a:prstGeom prst="rect">
                      <a:avLst/>
                    </a:prstGeom>
                    <a:noFill/>
                  </pic:spPr>
                </pic:pic>
              </a:graphicData>
            </a:graphic>
          </wp:anchor>
        </w:drawing>
      </w:r>
    </w:p>
    <w:p>
      <w:pPr>
        <w:spacing w:after="0" w:line="360" w:lineRule="exact"/>
        <w:rPr>
          <w:sz w:val="20"/>
          <w:szCs w:val="20"/>
          <w:color w:val="auto"/>
        </w:rPr>
      </w:pPr>
    </w:p>
    <w:p>
      <w:pPr>
        <w:jc w:val="right"/>
        <w:ind w:right="4119"/>
        <w:spacing w:after="0"/>
        <w:rPr>
          <w:sz w:val="20"/>
          <w:szCs w:val="20"/>
          <w:color w:val="auto"/>
        </w:rPr>
      </w:pPr>
      <w:r>
        <w:rPr>
          <w:rFonts w:ascii="Times New Roman" w:cs="Times New Roman" w:eastAsia="Times New Roman" w:hAnsi="Times New Roman"/>
          <w:sz w:val="14"/>
          <w:szCs w:val="14"/>
          <w:b w:val="1"/>
          <w:bCs w:val="1"/>
          <w:color w:val="auto"/>
        </w:rPr>
        <w:t>The Offering</w:t>
      </w:r>
    </w:p>
    <w:p>
      <w:pPr>
        <w:sectPr>
          <w:pgSz w:w="11900" w:h="16838" w:orient="portrait"/>
          <w:cols w:equalWidth="0" w:num="1">
            <w:col w:w="10159"/>
          </w:cols>
          <w:pgMar w:left="300" w:top="383" w:right="1440" w:bottom="1440" w:gutter="0" w:footer="0" w:header="0"/>
        </w:sectPr>
      </w:pPr>
    </w:p>
    <w:p>
      <w:pPr>
        <w:spacing w:after="0" w:line="195" w:lineRule="exact"/>
        <w:rPr>
          <w:sz w:val="20"/>
          <w:szCs w:val="20"/>
          <w:color w:val="auto"/>
        </w:rPr>
      </w:pPr>
    </w:p>
    <w:p>
      <w:pPr>
        <w:ind w:left="1600" w:right="520" w:hanging="60"/>
        <w:spacing w:after="0" w:line="278" w:lineRule="auto"/>
        <w:rPr>
          <w:sz w:val="20"/>
          <w:szCs w:val="20"/>
          <w:color w:val="auto"/>
        </w:rPr>
      </w:pPr>
      <w:r>
        <w:rPr>
          <w:rFonts w:ascii="Times New Roman" w:cs="Times New Roman" w:eastAsia="Times New Roman" w:hAnsi="Times New Roman"/>
          <w:sz w:val="14"/>
          <w:szCs w:val="14"/>
          <w:color w:val="auto"/>
        </w:rPr>
        <w:t>Class A common stock offered by the selling stockholders</w:t>
      </w:r>
    </w:p>
    <w:p>
      <w:pPr>
        <w:spacing w:after="0" w:line="15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Class A common stock outstanding after this offering</w:t>
      </w:r>
    </w:p>
    <w:p>
      <w:pPr>
        <w:spacing w:after="0" w:line="359" w:lineRule="exact"/>
        <w:rPr>
          <w:sz w:val="20"/>
          <w:szCs w:val="20"/>
          <w:color w:val="auto"/>
        </w:rPr>
      </w:pPr>
    </w:p>
    <w:p>
      <w:pPr>
        <w:jc w:val="both"/>
        <w:ind w:left="1600" w:right="20" w:hanging="60"/>
        <w:spacing w:after="0" w:line="263" w:lineRule="auto"/>
        <w:rPr>
          <w:sz w:val="20"/>
          <w:szCs w:val="20"/>
          <w:color w:val="auto"/>
        </w:rPr>
      </w:pPr>
      <w:r>
        <w:rPr>
          <w:rFonts w:ascii="Times New Roman" w:cs="Times New Roman" w:eastAsia="Times New Roman" w:hAnsi="Times New Roman"/>
          <w:sz w:val="14"/>
          <w:szCs w:val="14"/>
          <w:color w:val="auto"/>
        </w:rPr>
        <w:t>Class A common stock outstanding after this offering, assuming exchange of all Common Units held by the Continuing Common Unitholders</w:t>
      </w:r>
    </w:p>
    <w:p>
      <w:pPr>
        <w:spacing w:after="0" w:line="167" w:lineRule="exact"/>
        <w:rPr>
          <w:sz w:val="20"/>
          <w:szCs w:val="20"/>
          <w:color w:val="auto"/>
        </w:rPr>
      </w:pPr>
    </w:p>
    <w:p>
      <w:pPr>
        <w:jc w:val="both"/>
        <w:ind w:left="1600" w:hanging="60"/>
        <w:spacing w:after="0" w:line="278" w:lineRule="auto"/>
        <w:rPr>
          <w:sz w:val="20"/>
          <w:szCs w:val="20"/>
          <w:color w:val="auto"/>
        </w:rPr>
      </w:pPr>
      <w:r>
        <w:rPr>
          <w:rFonts w:ascii="Times New Roman" w:cs="Times New Roman" w:eastAsia="Times New Roman" w:hAnsi="Times New Roman"/>
          <w:sz w:val="14"/>
          <w:szCs w:val="14"/>
          <w:color w:val="auto"/>
        </w:rPr>
        <w:t>Class B common stock outstanding, after giving effect to this offering</w:t>
      </w:r>
    </w:p>
    <w:p>
      <w:pPr>
        <w:spacing w:after="0" w:line="31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Use of proceeds</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jc w:val="both"/>
        <w:ind w:right="539"/>
        <w:spacing w:after="0" w:line="278" w:lineRule="auto"/>
        <w:rPr>
          <w:sz w:val="20"/>
          <w:szCs w:val="20"/>
          <w:color w:val="auto"/>
        </w:rPr>
      </w:pPr>
      <w:r>
        <w:rPr>
          <w:rFonts w:ascii="Times New Roman" w:cs="Times New Roman" w:eastAsia="Times New Roman" w:hAnsi="Times New Roman"/>
          <w:sz w:val="14"/>
          <w:szCs w:val="14"/>
          <w:color w:val="auto"/>
        </w:rPr>
        <w:t>60,000,000 shares (or 69,000,000 shares if the underwriters exercise in full their option to purchase additional shares of Class A common stock).</w:t>
      </w:r>
    </w:p>
    <w:p>
      <w:pPr>
        <w:spacing w:after="0" w:line="157" w:lineRule="exact"/>
        <w:rPr>
          <w:sz w:val="20"/>
          <w:szCs w:val="20"/>
          <w:color w:val="auto"/>
        </w:rPr>
      </w:pPr>
    </w:p>
    <w:p>
      <w:pPr>
        <w:jc w:val="both"/>
        <w:ind w:right="539"/>
        <w:spacing w:after="0" w:line="278" w:lineRule="auto"/>
        <w:rPr>
          <w:sz w:val="20"/>
          <w:szCs w:val="20"/>
          <w:color w:val="auto"/>
        </w:rPr>
      </w:pPr>
      <w:r>
        <w:rPr>
          <w:rFonts w:ascii="Times New Roman" w:cs="Times New Roman" w:eastAsia="Times New Roman" w:hAnsi="Times New Roman"/>
          <w:sz w:val="14"/>
          <w:szCs w:val="14"/>
          <w:color w:val="auto"/>
        </w:rPr>
        <w:t>869,248,274 shares (or 872,794,587 shares if the underwriters exercise in full their option to purchase additional shares of Class A common stock).</w:t>
      </w:r>
    </w:p>
    <w:p>
      <w:pPr>
        <w:spacing w:after="0" w:line="147" w:lineRule="exact"/>
        <w:rPr>
          <w:sz w:val="20"/>
          <w:szCs w:val="20"/>
          <w:color w:val="auto"/>
        </w:rPr>
      </w:pPr>
    </w:p>
    <w:p>
      <w:pPr>
        <w:ind w:right="459"/>
        <w:spacing w:after="0" w:line="278" w:lineRule="auto"/>
        <w:rPr>
          <w:sz w:val="20"/>
          <w:szCs w:val="20"/>
          <w:color w:val="auto"/>
        </w:rPr>
      </w:pPr>
      <w:r>
        <w:rPr>
          <w:rFonts w:ascii="Times New Roman" w:cs="Times New Roman" w:eastAsia="Times New Roman" w:hAnsi="Times New Roman"/>
          <w:sz w:val="14"/>
          <w:szCs w:val="14"/>
          <w:color w:val="auto"/>
        </w:rPr>
        <w:t>1,313,688,164 shares (which does not reflect any shares of Class A common stock issuable in exchange for as-converted Incentive Units).</w:t>
      </w:r>
    </w:p>
    <w:p>
      <w:pPr>
        <w:spacing w:after="0" w:line="324" w:lineRule="exact"/>
        <w:rPr>
          <w:sz w:val="20"/>
          <w:szCs w:val="20"/>
          <w:color w:val="auto"/>
        </w:rPr>
      </w:pPr>
    </w:p>
    <w:p>
      <w:pPr>
        <w:jc w:val="both"/>
        <w:ind w:right="539"/>
        <w:spacing w:after="0" w:line="263" w:lineRule="auto"/>
        <w:rPr>
          <w:sz w:val="20"/>
          <w:szCs w:val="20"/>
          <w:color w:val="auto"/>
        </w:rPr>
      </w:pPr>
      <w:r>
        <w:rPr>
          <w:rFonts w:ascii="Times New Roman" w:cs="Times New Roman" w:eastAsia="Times New Roman" w:hAnsi="Times New Roman"/>
          <w:sz w:val="14"/>
          <w:szCs w:val="14"/>
          <w:color w:val="auto"/>
        </w:rPr>
        <w:t>444,439,890 shares, all of which will be held by the Continuing Common Unitholders (or 440,893,577 shares if the underwriters exercise in full their option to purchase additional shares of Class A common stock).</w:t>
      </w:r>
    </w:p>
    <w:p>
      <w:pPr>
        <w:spacing w:after="0" w:line="157" w:lineRule="exact"/>
        <w:rPr>
          <w:sz w:val="20"/>
          <w:szCs w:val="20"/>
          <w:color w:val="auto"/>
        </w:rPr>
      </w:pPr>
    </w:p>
    <w:p>
      <w:pPr>
        <w:ind w:right="499"/>
        <w:spacing w:after="0" w:line="263" w:lineRule="auto"/>
        <w:rPr>
          <w:sz w:val="20"/>
          <w:szCs w:val="20"/>
          <w:color w:val="auto"/>
        </w:rPr>
      </w:pPr>
      <w:r>
        <w:rPr>
          <w:rFonts w:ascii="Times New Roman" w:cs="Times New Roman" w:eastAsia="Times New Roman" w:hAnsi="Times New Roman"/>
          <w:sz w:val="14"/>
          <w:szCs w:val="14"/>
          <w:color w:val="auto"/>
        </w:rPr>
        <w:t>We will not receive any proceeds from the sale of the shares of our Class A common stock offered by the selling stockholders (including any sales pursuant to the underwriters’ option to purchase additional shares from the selling stockholders).</w:t>
      </w:r>
    </w:p>
    <w:p>
      <w:pPr>
        <w:spacing w:after="0" w:line="157" w:lineRule="exact"/>
        <w:rPr>
          <w:sz w:val="20"/>
          <w:szCs w:val="20"/>
          <w:color w:val="auto"/>
        </w:rPr>
      </w:pPr>
    </w:p>
    <w:p>
      <w:pPr>
        <w:sectPr>
          <w:pgSz w:w="11900" w:h="16838" w:orient="portrait"/>
          <w:cols w:equalWidth="0" w:num="2">
            <w:col w:w="4560" w:space="100"/>
            <w:col w:w="5499"/>
          </w:cols>
          <w:pgMar w:left="300" w:top="383" w:right="1440" w:bottom="1440" w:gutter="0" w:footer="0" w:header="0"/>
          <w:type w:val="continuous"/>
        </w:sectPr>
      </w:pPr>
    </w:p>
    <w:tbl>
      <w:tblPr>
        <w:tblLayout w:type="fixed"/>
        <w:tblInd w:w="1400" w:type="dxa"/>
        <w:tblCellMar>
          <w:top w:w="0" w:type="dxa"/>
          <w:left w:w="0" w:type="dxa"/>
          <w:bottom w:w="0" w:type="dxa"/>
          <w:right w:w="0" w:type="dxa"/>
        </w:tblCellMar>
      </w:tblPr>
      <w:tr>
        <w:trPr>
          <w:trHeight w:val="166"/>
        </w:trPr>
        <w:tc>
          <w:tcPr>
            <w:tcW w:w="2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Conflicts of Interest</w:t>
            </w:r>
          </w:p>
        </w:tc>
        <w:tc>
          <w:tcPr>
            <w:tcW w:w="624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Affiliates of Blackstone beneficially own in excess of 10% of our issued and outstanding</w:t>
            </w:r>
          </w:p>
        </w:tc>
      </w:tr>
      <w:tr>
        <w:trPr>
          <w:trHeight w:val="166"/>
        </w:trPr>
        <w:tc>
          <w:tcPr>
            <w:tcW w:w="2260" w:type="dxa"/>
            <w:vAlign w:val="bottom"/>
          </w:tcPr>
          <w:p>
            <w:pPr>
              <w:spacing w:after="0"/>
              <w:rPr>
                <w:sz w:val="14"/>
                <w:szCs w:val="14"/>
                <w:color w:val="auto"/>
              </w:rPr>
            </w:pPr>
          </w:p>
        </w:tc>
        <w:tc>
          <w:tcPr>
            <w:tcW w:w="624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common stock and will receive in excess of 5% of the net proceeds of this offering.</w:t>
            </w:r>
          </w:p>
        </w:tc>
      </w:tr>
      <w:tr>
        <w:trPr>
          <w:trHeight w:val="166"/>
        </w:trPr>
        <w:tc>
          <w:tcPr>
            <w:tcW w:w="2260" w:type="dxa"/>
            <w:vAlign w:val="bottom"/>
          </w:tcPr>
          <w:p>
            <w:pPr>
              <w:spacing w:after="0"/>
              <w:rPr>
                <w:sz w:val="14"/>
                <w:szCs w:val="14"/>
                <w:color w:val="auto"/>
              </w:rPr>
            </w:pPr>
          </w:p>
        </w:tc>
        <w:tc>
          <w:tcPr>
            <w:tcW w:w="624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Because Blackstone Securities Partners L.P. is an underwriter in this offering, and its</w:t>
            </w:r>
          </w:p>
        </w:tc>
      </w:tr>
      <w:tr>
        <w:trPr>
          <w:trHeight w:val="166"/>
        </w:trPr>
        <w:tc>
          <w:tcPr>
            <w:tcW w:w="2260" w:type="dxa"/>
            <w:vAlign w:val="bottom"/>
          </w:tcPr>
          <w:p>
            <w:pPr>
              <w:spacing w:after="0"/>
              <w:rPr>
                <w:sz w:val="14"/>
                <w:szCs w:val="14"/>
                <w:color w:val="auto"/>
              </w:rPr>
            </w:pPr>
          </w:p>
        </w:tc>
        <w:tc>
          <w:tcPr>
            <w:tcW w:w="624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affiliates own in excess of 10% of our issued and outstanding common stock and will</w:t>
            </w:r>
          </w:p>
        </w:tc>
      </w:tr>
      <w:tr>
        <w:trPr>
          <w:trHeight w:val="166"/>
        </w:trPr>
        <w:tc>
          <w:tcPr>
            <w:tcW w:w="2260" w:type="dxa"/>
            <w:vAlign w:val="bottom"/>
          </w:tcPr>
          <w:p>
            <w:pPr>
              <w:spacing w:after="0"/>
              <w:rPr>
                <w:sz w:val="14"/>
                <w:szCs w:val="14"/>
                <w:color w:val="auto"/>
              </w:rPr>
            </w:pPr>
          </w:p>
        </w:tc>
        <w:tc>
          <w:tcPr>
            <w:tcW w:w="624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receive in excess of 5% of the net proceeds of this offering, Blackstone Securities Partners</w:t>
            </w:r>
          </w:p>
        </w:tc>
      </w:tr>
      <w:tr>
        <w:trPr>
          <w:trHeight w:val="166"/>
        </w:trPr>
        <w:tc>
          <w:tcPr>
            <w:tcW w:w="2260" w:type="dxa"/>
            <w:vAlign w:val="bottom"/>
          </w:tcPr>
          <w:p>
            <w:pPr>
              <w:spacing w:after="0"/>
              <w:rPr>
                <w:sz w:val="14"/>
                <w:szCs w:val="14"/>
                <w:color w:val="auto"/>
              </w:rPr>
            </w:pPr>
          </w:p>
        </w:tc>
        <w:tc>
          <w:tcPr>
            <w:tcW w:w="624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L.P. is deemed to have a “conflict of interest” under FINRA Rule 5121. Accordingly, this</w:t>
            </w:r>
          </w:p>
        </w:tc>
      </w:tr>
      <w:tr>
        <w:trPr>
          <w:trHeight w:val="166"/>
        </w:trPr>
        <w:tc>
          <w:tcPr>
            <w:tcW w:w="2260" w:type="dxa"/>
            <w:vAlign w:val="bottom"/>
          </w:tcPr>
          <w:p>
            <w:pPr>
              <w:spacing w:after="0"/>
              <w:rPr>
                <w:sz w:val="14"/>
                <w:szCs w:val="14"/>
                <w:color w:val="auto"/>
              </w:rPr>
            </w:pPr>
          </w:p>
        </w:tc>
        <w:tc>
          <w:tcPr>
            <w:tcW w:w="624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offering is being made in compliance with the requirements of Rule 5121. Pursuant to that</w:t>
            </w:r>
          </w:p>
        </w:tc>
      </w:tr>
      <w:tr>
        <w:trPr>
          <w:trHeight w:val="166"/>
        </w:trPr>
        <w:tc>
          <w:tcPr>
            <w:tcW w:w="2260" w:type="dxa"/>
            <w:vAlign w:val="bottom"/>
          </w:tcPr>
          <w:p>
            <w:pPr>
              <w:spacing w:after="0"/>
              <w:rPr>
                <w:sz w:val="14"/>
                <w:szCs w:val="14"/>
                <w:color w:val="auto"/>
              </w:rPr>
            </w:pPr>
          </w:p>
        </w:tc>
        <w:tc>
          <w:tcPr>
            <w:tcW w:w="624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rule, the appointment of a “qualified independent underwriter” is not required in</w:t>
            </w:r>
          </w:p>
        </w:tc>
      </w:tr>
      <w:tr>
        <w:trPr>
          <w:trHeight w:val="166"/>
        </w:trPr>
        <w:tc>
          <w:tcPr>
            <w:tcW w:w="2260" w:type="dxa"/>
            <w:vAlign w:val="bottom"/>
          </w:tcPr>
          <w:p>
            <w:pPr>
              <w:spacing w:after="0"/>
              <w:rPr>
                <w:sz w:val="14"/>
                <w:szCs w:val="14"/>
                <w:color w:val="auto"/>
              </w:rPr>
            </w:pPr>
          </w:p>
        </w:tc>
        <w:tc>
          <w:tcPr>
            <w:tcW w:w="624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connection with this offering as a “bona fide public market,” as defined in Rule 5121,</w:t>
            </w:r>
          </w:p>
        </w:tc>
      </w:tr>
      <w:tr>
        <w:trPr>
          <w:trHeight w:val="166"/>
        </w:trPr>
        <w:tc>
          <w:tcPr>
            <w:tcW w:w="2260" w:type="dxa"/>
            <w:vAlign w:val="bottom"/>
          </w:tcPr>
          <w:p>
            <w:pPr>
              <w:spacing w:after="0"/>
              <w:rPr>
                <w:sz w:val="14"/>
                <w:szCs w:val="14"/>
                <w:color w:val="auto"/>
              </w:rPr>
            </w:pPr>
          </w:p>
        </w:tc>
        <w:tc>
          <w:tcPr>
            <w:tcW w:w="624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exists for our Class A common stock. Blackstone Securities Partners L.P. will not confirm</w:t>
            </w:r>
          </w:p>
        </w:tc>
      </w:tr>
      <w:tr>
        <w:trPr>
          <w:trHeight w:val="166"/>
        </w:trPr>
        <w:tc>
          <w:tcPr>
            <w:tcW w:w="2260" w:type="dxa"/>
            <w:vAlign w:val="bottom"/>
          </w:tcPr>
          <w:p>
            <w:pPr>
              <w:spacing w:after="0"/>
              <w:rPr>
                <w:sz w:val="14"/>
                <w:szCs w:val="14"/>
                <w:color w:val="auto"/>
              </w:rPr>
            </w:pPr>
          </w:p>
        </w:tc>
        <w:tc>
          <w:tcPr>
            <w:tcW w:w="624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sales of the securities to any account over which it exercises discretionary authority without</w:t>
            </w:r>
          </w:p>
        </w:tc>
      </w:tr>
      <w:tr>
        <w:trPr>
          <w:trHeight w:val="166"/>
        </w:trPr>
        <w:tc>
          <w:tcPr>
            <w:tcW w:w="2260" w:type="dxa"/>
            <w:vAlign w:val="bottom"/>
          </w:tcPr>
          <w:p>
            <w:pPr>
              <w:spacing w:after="0"/>
              <w:rPr>
                <w:sz w:val="14"/>
                <w:szCs w:val="14"/>
                <w:color w:val="auto"/>
              </w:rPr>
            </w:pPr>
          </w:p>
        </w:tc>
        <w:tc>
          <w:tcPr>
            <w:tcW w:w="624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the specific written approval of the account holder. See “Underwriting (Conflicts of</w:t>
            </w:r>
          </w:p>
        </w:tc>
      </w:tr>
      <w:tr>
        <w:trPr>
          <w:trHeight w:val="181"/>
        </w:trPr>
        <w:tc>
          <w:tcPr>
            <w:tcW w:w="2260" w:type="dxa"/>
            <w:vAlign w:val="bottom"/>
          </w:tcPr>
          <w:p>
            <w:pPr>
              <w:spacing w:after="0"/>
              <w:rPr>
                <w:sz w:val="15"/>
                <w:szCs w:val="15"/>
                <w:color w:val="auto"/>
              </w:rPr>
            </w:pPr>
          </w:p>
        </w:tc>
        <w:tc>
          <w:tcPr>
            <w:tcW w:w="624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Interest).”</w:t>
            </w:r>
          </w:p>
        </w:tc>
      </w:tr>
      <w:tr>
        <w:trPr>
          <w:trHeight w:val="338"/>
        </w:trPr>
        <w:tc>
          <w:tcPr>
            <w:tcW w:w="2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Voting rights</w:t>
            </w:r>
          </w:p>
        </w:tc>
        <w:tc>
          <w:tcPr>
            <w:tcW w:w="624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Each share of our Class A common stock entitles its holder to one vote on all matters to be</w:t>
            </w:r>
          </w:p>
        </w:tc>
      </w:tr>
      <w:tr>
        <w:trPr>
          <w:trHeight w:val="181"/>
        </w:trPr>
        <w:tc>
          <w:tcPr>
            <w:tcW w:w="2260" w:type="dxa"/>
            <w:vAlign w:val="bottom"/>
          </w:tcPr>
          <w:p>
            <w:pPr>
              <w:spacing w:after="0"/>
              <w:rPr>
                <w:sz w:val="15"/>
                <w:szCs w:val="15"/>
                <w:color w:val="auto"/>
              </w:rPr>
            </w:pPr>
          </w:p>
        </w:tc>
        <w:tc>
          <w:tcPr>
            <w:tcW w:w="624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voted on by stockholders generally.</w:t>
            </w:r>
          </w:p>
        </w:tc>
      </w:tr>
      <w:tr>
        <w:trPr>
          <w:trHeight w:val="338"/>
        </w:trPr>
        <w:tc>
          <w:tcPr>
            <w:tcW w:w="2260" w:type="dxa"/>
            <w:vAlign w:val="bottom"/>
          </w:tcPr>
          <w:p>
            <w:pPr>
              <w:spacing w:after="0"/>
              <w:rPr>
                <w:sz w:val="24"/>
                <w:szCs w:val="24"/>
                <w:color w:val="auto"/>
              </w:rPr>
            </w:pPr>
          </w:p>
        </w:tc>
        <w:tc>
          <w:tcPr>
            <w:tcW w:w="624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The Continuing Common Unitholders hold all of the initially outstanding shares of our</w:t>
            </w:r>
          </w:p>
        </w:tc>
      </w:tr>
      <w:tr>
        <w:trPr>
          <w:trHeight w:val="166"/>
        </w:trPr>
        <w:tc>
          <w:tcPr>
            <w:tcW w:w="2260" w:type="dxa"/>
            <w:vAlign w:val="bottom"/>
          </w:tcPr>
          <w:p>
            <w:pPr>
              <w:spacing w:after="0"/>
              <w:rPr>
                <w:sz w:val="14"/>
                <w:szCs w:val="14"/>
                <w:color w:val="auto"/>
              </w:rPr>
            </w:pPr>
          </w:p>
        </w:tc>
        <w:tc>
          <w:tcPr>
            <w:tcW w:w="624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Class B common stock and, upon conversion of vested Incentive Units for Common Units,</w:t>
            </w:r>
          </w:p>
        </w:tc>
      </w:tr>
      <w:tr>
        <w:trPr>
          <w:trHeight w:val="181"/>
        </w:trPr>
        <w:tc>
          <w:tcPr>
            <w:tcW w:w="2260" w:type="dxa"/>
            <w:vAlign w:val="bottom"/>
          </w:tcPr>
          <w:p>
            <w:pPr>
              <w:spacing w:after="0"/>
              <w:rPr>
                <w:sz w:val="15"/>
                <w:szCs w:val="15"/>
                <w:color w:val="auto"/>
              </w:rPr>
            </w:pPr>
          </w:p>
        </w:tc>
        <w:tc>
          <w:tcPr>
            <w:tcW w:w="624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the</w:t>
            </w:r>
          </w:p>
        </w:tc>
      </w:tr>
      <w:tr>
        <w:trPr>
          <w:trHeight w:val="130"/>
        </w:trPr>
        <w:tc>
          <w:tcPr>
            <w:tcW w:w="2260" w:type="dxa"/>
            <w:vAlign w:val="bottom"/>
            <w:tcBorders>
              <w:bottom w:val="single" w:sz="8" w:color="auto"/>
            </w:tcBorders>
          </w:tcPr>
          <w:p>
            <w:pPr>
              <w:spacing w:after="0"/>
              <w:rPr>
                <w:sz w:val="11"/>
                <w:szCs w:val="11"/>
                <w:color w:val="auto"/>
              </w:rPr>
            </w:pPr>
          </w:p>
        </w:tc>
        <w:tc>
          <w:tcPr>
            <w:tcW w:w="6240" w:type="dxa"/>
            <w:vAlign w:val="bottom"/>
            <w:tcBorders>
              <w:bottom w:val="single" w:sz="8" w:color="auto"/>
            </w:tcBorders>
          </w:tcPr>
          <w:p>
            <w:pPr>
              <w:spacing w:after="0"/>
              <w:rPr>
                <w:sz w:val="11"/>
                <w:szCs w:val="11"/>
                <w:color w:val="auto"/>
              </w:rPr>
            </w:pPr>
          </w:p>
        </w:tc>
      </w:tr>
      <w:tr>
        <w:trPr>
          <w:trHeight w:val="276"/>
        </w:trPr>
        <w:tc>
          <w:tcPr>
            <w:tcW w:w="2260" w:type="dxa"/>
            <w:vAlign w:val="bottom"/>
          </w:tcPr>
          <w:p>
            <w:pPr>
              <w:spacing w:after="0"/>
              <w:rPr>
                <w:sz w:val="24"/>
                <w:szCs w:val="24"/>
                <w:color w:val="auto"/>
              </w:rPr>
            </w:pPr>
          </w:p>
        </w:tc>
        <w:tc>
          <w:tcPr>
            <w:tcW w:w="6240" w:type="dxa"/>
            <w:vAlign w:val="bottom"/>
          </w:tcPr>
          <w:p>
            <w:pPr>
              <w:ind w:left="1920"/>
              <w:spacing w:after="0"/>
              <w:rPr>
                <w:sz w:val="20"/>
                <w:szCs w:val="20"/>
                <w:color w:val="auto"/>
              </w:rPr>
            </w:pPr>
            <w:r>
              <w:rPr>
                <w:rFonts w:ascii="Times New Roman" w:cs="Times New Roman" w:eastAsia="Times New Roman" w:hAnsi="Times New Roman"/>
                <w:sz w:val="14"/>
                <w:szCs w:val="14"/>
                <w:color w:val="auto"/>
              </w:rPr>
              <w:t>19</w:t>
            </w:r>
          </w:p>
        </w:tc>
      </w:tr>
    </w:tbl>
    <w:p>
      <w:pPr>
        <w:sectPr>
          <w:pgSz w:w="11900" w:h="16838" w:orient="portrait"/>
          <w:cols w:equalWidth="0" w:num="1">
            <w:col w:w="10159"/>
          </w:cols>
          <w:pgMar w:left="300" w:top="383" w:right="1440"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36" w:lineRule="exact"/>
        <w:rPr>
          <w:sz w:val="20"/>
          <w:szCs w:val="20"/>
          <w:color w:val="auto"/>
        </w:rPr>
      </w:pPr>
    </w:p>
    <w:tbl>
      <w:tblPr>
        <w:tblLayout w:type="fixed"/>
        <w:tblInd w:w="1410" w:type="dxa"/>
        <w:tblCellMar>
          <w:top w:w="0" w:type="dxa"/>
          <w:left w:w="0" w:type="dxa"/>
          <w:bottom w:w="0" w:type="dxa"/>
          <w:right w:w="0" w:type="dxa"/>
        </w:tblCellMar>
      </w:tblPr>
      <w:tr>
        <w:trPr>
          <w:trHeight w:val="292"/>
        </w:trPr>
        <w:tc>
          <w:tcPr>
            <w:tcW w:w="2140" w:type="dxa"/>
            <w:vAlign w:val="bottom"/>
            <w:tcBorders>
              <w:top w:val="single" w:sz="8" w:color="auto"/>
              <w:left w:val="single" w:sz="8" w:color="auto"/>
            </w:tcBorders>
          </w:tcPr>
          <w:p>
            <w:pPr>
              <w:spacing w:after="0"/>
              <w:rPr>
                <w:sz w:val="24"/>
                <w:szCs w:val="24"/>
                <w:color w:val="auto"/>
              </w:rPr>
            </w:pPr>
          </w:p>
        </w:tc>
        <w:tc>
          <w:tcPr>
            <w:tcW w:w="6360" w:type="dxa"/>
            <w:vAlign w:val="bottom"/>
            <w:tcBorders>
              <w:top w:val="single" w:sz="8" w:color="auto"/>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converting holders will also receive an equivalent number of shares of Class B common</w:t>
            </w:r>
          </w:p>
        </w:tc>
      </w:tr>
      <w:tr>
        <w:trPr>
          <w:trHeight w:val="166"/>
        </w:trPr>
        <w:tc>
          <w:tcPr>
            <w:tcW w:w="2140" w:type="dxa"/>
            <w:vAlign w:val="bottom"/>
            <w:tcBorders>
              <w:left w:val="single" w:sz="8" w:color="auto"/>
            </w:tcBorders>
          </w:tcPr>
          <w:p>
            <w:pPr>
              <w:spacing w:after="0"/>
              <w:rPr>
                <w:sz w:val="14"/>
                <w:szCs w:val="14"/>
                <w:color w:val="auto"/>
              </w:rPr>
            </w:pPr>
          </w:p>
        </w:tc>
        <w:tc>
          <w:tcPr>
            <w:tcW w:w="636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stock. The shares of Class B common stock have no economic rights but entitle each holder</w:t>
            </w:r>
          </w:p>
        </w:tc>
      </w:tr>
      <w:tr>
        <w:trPr>
          <w:trHeight w:val="166"/>
        </w:trPr>
        <w:tc>
          <w:tcPr>
            <w:tcW w:w="2140" w:type="dxa"/>
            <w:vAlign w:val="bottom"/>
            <w:tcBorders>
              <w:left w:val="single" w:sz="8" w:color="auto"/>
            </w:tcBorders>
          </w:tcPr>
          <w:p>
            <w:pPr>
              <w:spacing w:after="0"/>
              <w:rPr>
                <w:sz w:val="14"/>
                <w:szCs w:val="14"/>
                <w:color w:val="auto"/>
              </w:rPr>
            </w:pPr>
          </w:p>
        </w:tc>
        <w:tc>
          <w:tcPr>
            <w:tcW w:w="636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to one vote for each share held of record on all matters to be voted on by stockholders</w:t>
            </w:r>
          </w:p>
        </w:tc>
      </w:tr>
      <w:tr>
        <w:trPr>
          <w:trHeight w:val="166"/>
        </w:trPr>
        <w:tc>
          <w:tcPr>
            <w:tcW w:w="2140" w:type="dxa"/>
            <w:vAlign w:val="bottom"/>
            <w:tcBorders>
              <w:left w:val="single" w:sz="8" w:color="auto"/>
            </w:tcBorders>
          </w:tcPr>
          <w:p>
            <w:pPr>
              <w:spacing w:after="0"/>
              <w:rPr>
                <w:sz w:val="14"/>
                <w:szCs w:val="14"/>
                <w:color w:val="auto"/>
              </w:rPr>
            </w:pPr>
          </w:p>
        </w:tc>
        <w:tc>
          <w:tcPr>
            <w:tcW w:w="636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generally, with the number of shares of Class B common stock held by each Continuing</w:t>
            </w:r>
          </w:p>
        </w:tc>
      </w:tr>
      <w:tr>
        <w:trPr>
          <w:trHeight w:val="166"/>
        </w:trPr>
        <w:tc>
          <w:tcPr>
            <w:tcW w:w="2140" w:type="dxa"/>
            <w:vAlign w:val="bottom"/>
            <w:tcBorders>
              <w:left w:val="single" w:sz="8" w:color="auto"/>
            </w:tcBorders>
          </w:tcPr>
          <w:p>
            <w:pPr>
              <w:spacing w:after="0"/>
              <w:rPr>
                <w:sz w:val="14"/>
                <w:szCs w:val="14"/>
                <w:color w:val="auto"/>
              </w:rPr>
            </w:pPr>
          </w:p>
        </w:tc>
        <w:tc>
          <w:tcPr>
            <w:tcW w:w="636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Unitholder being equivalent to the number of Common Units held by each such Continuing</w:t>
            </w:r>
          </w:p>
        </w:tc>
      </w:tr>
      <w:tr>
        <w:trPr>
          <w:trHeight w:val="166"/>
        </w:trPr>
        <w:tc>
          <w:tcPr>
            <w:tcW w:w="2140" w:type="dxa"/>
            <w:vAlign w:val="bottom"/>
            <w:tcBorders>
              <w:left w:val="single" w:sz="8" w:color="auto"/>
            </w:tcBorders>
          </w:tcPr>
          <w:p>
            <w:pPr>
              <w:spacing w:after="0"/>
              <w:rPr>
                <w:sz w:val="14"/>
                <w:szCs w:val="14"/>
                <w:color w:val="auto"/>
              </w:rPr>
            </w:pPr>
          </w:p>
        </w:tc>
        <w:tc>
          <w:tcPr>
            <w:tcW w:w="636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Unitholder. If at any time the ratio at which Common Units are exchangeable for shares of</w:t>
            </w:r>
          </w:p>
        </w:tc>
      </w:tr>
      <w:tr>
        <w:trPr>
          <w:trHeight w:val="166"/>
        </w:trPr>
        <w:tc>
          <w:tcPr>
            <w:tcW w:w="2140" w:type="dxa"/>
            <w:vAlign w:val="bottom"/>
            <w:tcBorders>
              <w:left w:val="single" w:sz="8" w:color="auto"/>
            </w:tcBorders>
          </w:tcPr>
          <w:p>
            <w:pPr>
              <w:spacing w:after="0"/>
              <w:rPr>
                <w:sz w:val="14"/>
                <w:szCs w:val="14"/>
                <w:color w:val="auto"/>
              </w:rPr>
            </w:pPr>
          </w:p>
        </w:tc>
        <w:tc>
          <w:tcPr>
            <w:tcW w:w="636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our Class A common stock changes from one-for-one as described under “Part III—Item</w:t>
            </w:r>
          </w:p>
        </w:tc>
      </w:tr>
      <w:tr>
        <w:trPr>
          <w:trHeight w:val="166"/>
        </w:trPr>
        <w:tc>
          <w:tcPr>
            <w:tcW w:w="2140" w:type="dxa"/>
            <w:vAlign w:val="bottom"/>
            <w:tcBorders>
              <w:left w:val="single" w:sz="8" w:color="auto"/>
            </w:tcBorders>
          </w:tcPr>
          <w:p>
            <w:pPr>
              <w:spacing w:after="0"/>
              <w:rPr>
                <w:sz w:val="14"/>
                <w:szCs w:val="14"/>
                <w:color w:val="auto"/>
              </w:rPr>
            </w:pPr>
          </w:p>
        </w:tc>
        <w:tc>
          <w:tcPr>
            <w:tcW w:w="636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13—Certain Relationships and Related Transactions, and Director Independence” in our</w:t>
            </w:r>
          </w:p>
        </w:tc>
      </w:tr>
      <w:tr>
        <w:trPr>
          <w:trHeight w:val="166"/>
        </w:trPr>
        <w:tc>
          <w:tcPr>
            <w:tcW w:w="2140" w:type="dxa"/>
            <w:vAlign w:val="bottom"/>
            <w:tcBorders>
              <w:left w:val="single" w:sz="8" w:color="auto"/>
            </w:tcBorders>
          </w:tcPr>
          <w:p>
            <w:pPr>
              <w:spacing w:after="0"/>
              <w:rPr>
                <w:sz w:val="14"/>
                <w:szCs w:val="14"/>
                <w:color w:val="auto"/>
              </w:rPr>
            </w:pPr>
          </w:p>
        </w:tc>
        <w:tc>
          <w:tcPr>
            <w:tcW w:w="636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2025 Form 10-K incorporated by reference in this prospectus, the number of votes to which</w:t>
            </w:r>
          </w:p>
        </w:tc>
      </w:tr>
      <w:tr>
        <w:trPr>
          <w:trHeight w:val="166"/>
        </w:trPr>
        <w:tc>
          <w:tcPr>
            <w:tcW w:w="2140" w:type="dxa"/>
            <w:vAlign w:val="bottom"/>
            <w:tcBorders>
              <w:left w:val="single" w:sz="8" w:color="auto"/>
            </w:tcBorders>
          </w:tcPr>
          <w:p>
            <w:pPr>
              <w:spacing w:after="0"/>
              <w:rPr>
                <w:sz w:val="14"/>
                <w:szCs w:val="14"/>
                <w:color w:val="auto"/>
              </w:rPr>
            </w:pPr>
          </w:p>
        </w:tc>
        <w:tc>
          <w:tcPr>
            <w:tcW w:w="636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Class B common stockholders are entitled will be adjusted accordingly. Holders of shares</w:t>
            </w:r>
          </w:p>
        </w:tc>
      </w:tr>
      <w:tr>
        <w:trPr>
          <w:trHeight w:val="166"/>
        </w:trPr>
        <w:tc>
          <w:tcPr>
            <w:tcW w:w="2140" w:type="dxa"/>
            <w:vAlign w:val="bottom"/>
            <w:tcBorders>
              <w:left w:val="single" w:sz="8" w:color="auto"/>
            </w:tcBorders>
          </w:tcPr>
          <w:p>
            <w:pPr>
              <w:spacing w:after="0"/>
              <w:rPr>
                <w:sz w:val="14"/>
                <w:szCs w:val="14"/>
                <w:color w:val="auto"/>
              </w:rPr>
            </w:pPr>
          </w:p>
        </w:tc>
        <w:tc>
          <w:tcPr>
            <w:tcW w:w="636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of our Class B common stock vote together with holders of our Class A common stock as a</w:t>
            </w:r>
          </w:p>
        </w:tc>
      </w:tr>
      <w:tr>
        <w:trPr>
          <w:trHeight w:val="166"/>
        </w:trPr>
        <w:tc>
          <w:tcPr>
            <w:tcW w:w="2140" w:type="dxa"/>
            <w:vAlign w:val="bottom"/>
            <w:tcBorders>
              <w:left w:val="single" w:sz="8" w:color="auto"/>
            </w:tcBorders>
          </w:tcPr>
          <w:p>
            <w:pPr>
              <w:spacing w:after="0"/>
              <w:rPr>
                <w:sz w:val="14"/>
                <w:szCs w:val="14"/>
                <w:color w:val="auto"/>
              </w:rPr>
            </w:pPr>
          </w:p>
        </w:tc>
        <w:tc>
          <w:tcPr>
            <w:tcW w:w="636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single class on all matters on which stockholders are entitled to vote generally, except as</w:t>
            </w:r>
          </w:p>
        </w:tc>
      </w:tr>
      <w:tr>
        <w:trPr>
          <w:trHeight w:val="166"/>
        </w:trPr>
        <w:tc>
          <w:tcPr>
            <w:tcW w:w="2140" w:type="dxa"/>
            <w:vAlign w:val="bottom"/>
            <w:tcBorders>
              <w:left w:val="single" w:sz="8" w:color="auto"/>
            </w:tcBorders>
          </w:tcPr>
          <w:p>
            <w:pPr>
              <w:spacing w:after="0"/>
              <w:rPr>
                <w:sz w:val="14"/>
                <w:szCs w:val="14"/>
                <w:color w:val="auto"/>
              </w:rPr>
            </w:pPr>
          </w:p>
        </w:tc>
        <w:tc>
          <w:tcPr>
            <w:tcW w:w="636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otherwise required by law. See “Description of Capital Stock—Common Stock—Class B</w:t>
            </w:r>
          </w:p>
        </w:tc>
      </w:tr>
      <w:tr>
        <w:trPr>
          <w:trHeight w:val="181"/>
        </w:trPr>
        <w:tc>
          <w:tcPr>
            <w:tcW w:w="2140" w:type="dxa"/>
            <w:vAlign w:val="bottom"/>
            <w:tcBorders>
              <w:left w:val="single" w:sz="8" w:color="auto"/>
            </w:tcBorders>
          </w:tcPr>
          <w:p>
            <w:pPr>
              <w:spacing w:after="0"/>
              <w:rPr>
                <w:sz w:val="15"/>
                <w:szCs w:val="15"/>
                <w:color w:val="auto"/>
              </w:rPr>
            </w:pPr>
          </w:p>
        </w:tc>
        <w:tc>
          <w:tcPr>
            <w:tcW w:w="636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Common Stock.”</w:t>
            </w:r>
          </w:p>
        </w:tc>
      </w:tr>
      <w:tr>
        <w:trPr>
          <w:trHeight w:val="349"/>
        </w:trPr>
        <w:tc>
          <w:tcPr>
            <w:tcW w:w="214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Dividend policy</w:t>
            </w:r>
          </w:p>
        </w:tc>
        <w:tc>
          <w:tcPr>
            <w:tcW w:w="636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We have no current plans to pay dividends on our Class A common stock following this</w:t>
            </w:r>
          </w:p>
        </w:tc>
      </w:tr>
      <w:tr>
        <w:trPr>
          <w:trHeight w:val="166"/>
        </w:trPr>
        <w:tc>
          <w:tcPr>
            <w:tcW w:w="2140" w:type="dxa"/>
            <w:vAlign w:val="bottom"/>
            <w:tcBorders>
              <w:left w:val="single" w:sz="8" w:color="auto"/>
            </w:tcBorders>
          </w:tcPr>
          <w:p>
            <w:pPr>
              <w:spacing w:after="0"/>
              <w:rPr>
                <w:sz w:val="14"/>
                <w:szCs w:val="14"/>
                <w:color w:val="auto"/>
              </w:rPr>
            </w:pPr>
          </w:p>
        </w:tc>
        <w:tc>
          <w:tcPr>
            <w:tcW w:w="636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offering. The declaration, amount, and payment of any future dividends will be at the sole</w:t>
            </w:r>
          </w:p>
        </w:tc>
      </w:tr>
      <w:tr>
        <w:trPr>
          <w:trHeight w:val="166"/>
        </w:trPr>
        <w:tc>
          <w:tcPr>
            <w:tcW w:w="2140" w:type="dxa"/>
            <w:vAlign w:val="bottom"/>
            <w:tcBorders>
              <w:left w:val="single" w:sz="8" w:color="auto"/>
            </w:tcBorders>
          </w:tcPr>
          <w:p>
            <w:pPr>
              <w:spacing w:after="0"/>
              <w:rPr>
                <w:sz w:val="14"/>
                <w:szCs w:val="14"/>
                <w:color w:val="auto"/>
              </w:rPr>
            </w:pPr>
          </w:p>
        </w:tc>
        <w:tc>
          <w:tcPr>
            <w:tcW w:w="636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discretion of our board of directors and will depend on general economic and business</w:t>
            </w:r>
          </w:p>
        </w:tc>
      </w:tr>
      <w:tr>
        <w:trPr>
          <w:trHeight w:val="166"/>
        </w:trPr>
        <w:tc>
          <w:tcPr>
            <w:tcW w:w="2140" w:type="dxa"/>
            <w:vAlign w:val="bottom"/>
            <w:tcBorders>
              <w:left w:val="single" w:sz="8" w:color="auto"/>
            </w:tcBorders>
          </w:tcPr>
          <w:p>
            <w:pPr>
              <w:spacing w:after="0"/>
              <w:rPr>
                <w:sz w:val="14"/>
                <w:szCs w:val="14"/>
                <w:color w:val="auto"/>
              </w:rPr>
            </w:pPr>
          </w:p>
        </w:tc>
        <w:tc>
          <w:tcPr>
            <w:tcW w:w="636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conditions; our financial condition and operating results; our available cash; current and</w:t>
            </w:r>
          </w:p>
        </w:tc>
      </w:tr>
      <w:tr>
        <w:trPr>
          <w:trHeight w:val="166"/>
        </w:trPr>
        <w:tc>
          <w:tcPr>
            <w:tcW w:w="2140" w:type="dxa"/>
            <w:vAlign w:val="bottom"/>
            <w:tcBorders>
              <w:left w:val="single" w:sz="8" w:color="auto"/>
            </w:tcBorders>
          </w:tcPr>
          <w:p>
            <w:pPr>
              <w:spacing w:after="0"/>
              <w:rPr>
                <w:sz w:val="14"/>
                <w:szCs w:val="14"/>
                <w:color w:val="auto"/>
              </w:rPr>
            </w:pPr>
          </w:p>
        </w:tc>
        <w:tc>
          <w:tcPr>
            <w:tcW w:w="636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anticipated cash needs; capital requirements; contractual, legal, tax, and regulatory</w:t>
            </w:r>
          </w:p>
        </w:tc>
      </w:tr>
      <w:tr>
        <w:trPr>
          <w:trHeight w:val="166"/>
        </w:trPr>
        <w:tc>
          <w:tcPr>
            <w:tcW w:w="2140" w:type="dxa"/>
            <w:vAlign w:val="bottom"/>
            <w:tcBorders>
              <w:left w:val="single" w:sz="8" w:color="auto"/>
            </w:tcBorders>
          </w:tcPr>
          <w:p>
            <w:pPr>
              <w:spacing w:after="0"/>
              <w:rPr>
                <w:sz w:val="14"/>
                <w:szCs w:val="14"/>
                <w:color w:val="auto"/>
              </w:rPr>
            </w:pPr>
          </w:p>
        </w:tc>
        <w:tc>
          <w:tcPr>
            <w:tcW w:w="636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restrictions and implications on the payment of dividends by us to our stockholders or by</w:t>
            </w:r>
          </w:p>
        </w:tc>
      </w:tr>
      <w:tr>
        <w:trPr>
          <w:trHeight w:val="166"/>
        </w:trPr>
        <w:tc>
          <w:tcPr>
            <w:tcW w:w="2140" w:type="dxa"/>
            <w:vAlign w:val="bottom"/>
            <w:tcBorders>
              <w:left w:val="single" w:sz="8" w:color="auto"/>
            </w:tcBorders>
          </w:tcPr>
          <w:p>
            <w:pPr>
              <w:spacing w:after="0"/>
              <w:rPr>
                <w:sz w:val="14"/>
                <w:szCs w:val="14"/>
                <w:color w:val="auto"/>
              </w:rPr>
            </w:pPr>
          </w:p>
        </w:tc>
        <w:tc>
          <w:tcPr>
            <w:tcW w:w="636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our subsidiaries (including Medline Holdings) to us; and such other factors as our board of</w:t>
            </w:r>
          </w:p>
        </w:tc>
      </w:tr>
      <w:tr>
        <w:trPr>
          <w:trHeight w:val="166"/>
        </w:trPr>
        <w:tc>
          <w:tcPr>
            <w:tcW w:w="2140" w:type="dxa"/>
            <w:vAlign w:val="bottom"/>
            <w:tcBorders>
              <w:left w:val="single" w:sz="8" w:color="auto"/>
            </w:tcBorders>
          </w:tcPr>
          <w:p>
            <w:pPr>
              <w:spacing w:after="0"/>
              <w:rPr>
                <w:sz w:val="14"/>
                <w:szCs w:val="14"/>
                <w:color w:val="auto"/>
              </w:rPr>
            </w:pPr>
          </w:p>
        </w:tc>
        <w:tc>
          <w:tcPr>
            <w:tcW w:w="636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directors may deem relevant. Holders of Class B common stock are not entitled to any</w:t>
            </w:r>
          </w:p>
        </w:tc>
      </w:tr>
      <w:tr>
        <w:trPr>
          <w:trHeight w:val="166"/>
        </w:trPr>
        <w:tc>
          <w:tcPr>
            <w:tcW w:w="2140" w:type="dxa"/>
            <w:vAlign w:val="bottom"/>
            <w:tcBorders>
              <w:left w:val="single" w:sz="8" w:color="auto"/>
            </w:tcBorders>
          </w:tcPr>
          <w:p>
            <w:pPr>
              <w:spacing w:after="0"/>
              <w:rPr>
                <w:sz w:val="14"/>
                <w:szCs w:val="14"/>
                <w:color w:val="auto"/>
              </w:rPr>
            </w:pPr>
          </w:p>
        </w:tc>
        <w:tc>
          <w:tcPr>
            <w:tcW w:w="636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dividends (other than dividends payable in the form of additional shares of Class B</w:t>
            </w:r>
          </w:p>
        </w:tc>
      </w:tr>
      <w:tr>
        <w:trPr>
          <w:trHeight w:val="181"/>
        </w:trPr>
        <w:tc>
          <w:tcPr>
            <w:tcW w:w="2140" w:type="dxa"/>
            <w:vAlign w:val="bottom"/>
            <w:tcBorders>
              <w:left w:val="single" w:sz="8" w:color="auto"/>
            </w:tcBorders>
          </w:tcPr>
          <w:p>
            <w:pPr>
              <w:spacing w:after="0"/>
              <w:rPr>
                <w:sz w:val="15"/>
                <w:szCs w:val="15"/>
                <w:color w:val="auto"/>
              </w:rPr>
            </w:pPr>
          </w:p>
        </w:tc>
        <w:tc>
          <w:tcPr>
            <w:tcW w:w="636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common stock).</w:t>
            </w:r>
          </w:p>
        </w:tc>
      </w:tr>
      <w:tr>
        <w:trPr>
          <w:trHeight w:val="338"/>
        </w:trPr>
        <w:tc>
          <w:tcPr>
            <w:tcW w:w="2140" w:type="dxa"/>
            <w:vAlign w:val="bottom"/>
            <w:tcBorders>
              <w:left w:val="single" w:sz="8" w:color="auto"/>
            </w:tcBorders>
          </w:tcPr>
          <w:p>
            <w:pPr>
              <w:spacing w:after="0"/>
              <w:rPr>
                <w:sz w:val="24"/>
                <w:szCs w:val="24"/>
                <w:color w:val="auto"/>
              </w:rPr>
            </w:pPr>
          </w:p>
        </w:tc>
        <w:tc>
          <w:tcPr>
            <w:tcW w:w="636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Medline Inc. is a holding company and has no material assets other than its equity interests</w:t>
            </w:r>
          </w:p>
        </w:tc>
      </w:tr>
      <w:tr>
        <w:trPr>
          <w:trHeight w:val="166"/>
        </w:trPr>
        <w:tc>
          <w:tcPr>
            <w:tcW w:w="2140" w:type="dxa"/>
            <w:vAlign w:val="bottom"/>
            <w:tcBorders>
              <w:left w:val="single" w:sz="8" w:color="auto"/>
            </w:tcBorders>
          </w:tcPr>
          <w:p>
            <w:pPr>
              <w:spacing w:after="0"/>
              <w:rPr>
                <w:sz w:val="14"/>
                <w:szCs w:val="14"/>
                <w:color w:val="auto"/>
              </w:rPr>
            </w:pPr>
          </w:p>
        </w:tc>
        <w:tc>
          <w:tcPr>
            <w:tcW w:w="636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held directly or indirectly through wholly owned subsidiaries in Medline Holdings. We</w:t>
            </w:r>
          </w:p>
        </w:tc>
      </w:tr>
      <w:tr>
        <w:trPr>
          <w:trHeight w:val="166"/>
        </w:trPr>
        <w:tc>
          <w:tcPr>
            <w:tcW w:w="2140" w:type="dxa"/>
            <w:vAlign w:val="bottom"/>
            <w:tcBorders>
              <w:left w:val="single" w:sz="8" w:color="auto"/>
            </w:tcBorders>
          </w:tcPr>
          <w:p>
            <w:pPr>
              <w:spacing w:after="0"/>
              <w:rPr>
                <w:sz w:val="14"/>
                <w:szCs w:val="14"/>
                <w:color w:val="auto"/>
              </w:rPr>
            </w:pPr>
          </w:p>
        </w:tc>
        <w:tc>
          <w:tcPr>
            <w:tcW w:w="636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intend to cause Medline Holdings to make distributions to us in an amount sufficient to</w:t>
            </w:r>
          </w:p>
        </w:tc>
      </w:tr>
      <w:tr>
        <w:trPr>
          <w:trHeight w:val="166"/>
        </w:trPr>
        <w:tc>
          <w:tcPr>
            <w:tcW w:w="2140" w:type="dxa"/>
            <w:vAlign w:val="bottom"/>
            <w:tcBorders>
              <w:left w:val="single" w:sz="8" w:color="auto"/>
            </w:tcBorders>
          </w:tcPr>
          <w:p>
            <w:pPr>
              <w:spacing w:after="0"/>
              <w:rPr>
                <w:sz w:val="14"/>
                <w:szCs w:val="14"/>
                <w:color w:val="auto"/>
              </w:rPr>
            </w:pPr>
          </w:p>
        </w:tc>
        <w:tc>
          <w:tcPr>
            <w:tcW w:w="636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cover cash dividends, if any, declared by us. If Medline Holdings makes such distributions</w:t>
            </w:r>
          </w:p>
        </w:tc>
      </w:tr>
      <w:tr>
        <w:trPr>
          <w:trHeight w:val="166"/>
        </w:trPr>
        <w:tc>
          <w:tcPr>
            <w:tcW w:w="2140" w:type="dxa"/>
            <w:vAlign w:val="bottom"/>
            <w:tcBorders>
              <w:left w:val="single" w:sz="8" w:color="auto"/>
            </w:tcBorders>
          </w:tcPr>
          <w:p>
            <w:pPr>
              <w:spacing w:after="0"/>
              <w:rPr>
                <w:sz w:val="14"/>
                <w:szCs w:val="14"/>
                <w:color w:val="auto"/>
              </w:rPr>
            </w:pPr>
          </w:p>
        </w:tc>
        <w:tc>
          <w:tcPr>
            <w:tcW w:w="636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to Medline Inc., the other holders of Common Units and any participating Incentive Units</w:t>
            </w:r>
          </w:p>
        </w:tc>
      </w:tr>
      <w:tr>
        <w:trPr>
          <w:trHeight w:val="166"/>
        </w:trPr>
        <w:tc>
          <w:tcPr>
            <w:tcW w:w="2140" w:type="dxa"/>
            <w:vAlign w:val="bottom"/>
            <w:tcBorders>
              <w:left w:val="single" w:sz="8" w:color="auto"/>
            </w:tcBorders>
          </w:tcPr>
          <w:p>
            <w:pPr>
              <w:spacing w:after="0"/>
              <w:rPr>
                <w:sz w:val="14"/>
                <w:szCs w:val="14"/>
                <w:color w:val="auto"/>
              </w:rPr>
            </w:pPr>
          </w:p>
        </w:tc>
        <w:tc>
          <w:tcPr>
            <w:tcW w:w="636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(as described below) will be entitled to receive equivalent pro rata distributions. Incentive</w:t>
            </w:r>
          </w:p>
        </w:tc>
      </w:tr>
      <w:tr>
        <w:trPr>
          <w:trHeight w:val="166"/>
        </w:trPr>
        <w:tc>
          <w:tcPr>
            <w:tcW w:w="2140" w:type="dxa"/>
            <w:vAlign w:val="bottom"/>
            <w:tcBorders>
              <w:left w:val="single" w:sz="8" w:color="auto"/>
            </w:tcBorders>
          </w:tcPr>
          <w:p>
            <w:pPr>
              <w:spacing w:after="0"/>
              <w:rPr>
                <w:sz w:val="14"/>
                <w:szCs w:val="14"/>
                <w:color w:val="auto"/>
              </w:rPr>
            </w:pPr>
          </w:p>
        </w:tc>
        <w:tc>
          <w:tcPr>
            <w:tcW w:w="636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Units are not entitled to receive distributions (other than tax distributions) until holders of</w:t>
            </w:r>
          </w:p>
        </w:tc>
      </w:tr>
      <w:tr>
        <w:trPr>
          <w:trHeight w:val="166"/>
        </w:trPr>
        <w:tc>
          <w:tcPr>
            <w:tcW w:w="2140" w:type="dxa"/>
            <w:vAlign w:val="bottom"/>
            <w:tcBorders>
              <w:left w:val="single" w:sz="8" w:color="auto"/>
            </w:tcBorders>
          </w:tcPr>
          <w:p>
            <w:pPr>
              <w:spacing w:after="0"/>
              <w:rPr>
                <w:sz w:val="14"/>
                <w:szCs w:val="14"/>
                <w:color w:val="auto"/>
              </w:rPr>
            </w:pPr>
          </w:p>
        </w:tc>
        <w:tc>
          <w:tcPr>
            <w:tcW w:w="636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Common Units have received a minimum return as provided in the amended and restated</w:t>
            </w:r>
          </w:p>
        </w:tc>
      </w:tr>
      <w:tr>
        <w:trPr>
          <w:trHeight w:val="166"/>
        </w:trPr>
        <w:tc>
          <w:tcPr>
            <w:tcW w:w="2140" w:type="dxa"/>
            <w:vAlign w:val="bottom"/>
            <w:tcBorders>
              <w:left w:val="single" w:sz="8" w:color="auto"/>
            </w:tcBorders>
          </w:tcPr>
          <w:p>
            <w:pPr>
              <w:spacing w:after="0"/>
              <w:rPr>
                <w:sz w:val="14"/>
                <w:szCs w:val="14"/>
                <w:color w:val="auto"/>
              </w:rPr>
            </w:pPr>
          </w:p>
        </w:tc>
        <w:tc>
          <w:tcPr>
            <w:tcW w:w="636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limited partnership agreement of Medline Holdings. However, Incentive Units have the</w:t>
            </w:r>
          </w:p>
        </w:tc>
      </w:tr>
      <w:tr>
        <w:trPr>
          <w:trHeight w:val="166"/>
        </w:trPr>
        <w:tc>
          <w:tcPr>
            <w:tcW w:w="2140" w:type="dxa"/>
            <w:vAlign w:val="bottom"/>
            <w:tcBorders>
              <w:left w:val="single" w:sz="8" w:color="auto"/>
            </w:tcBorders>
          </w:tcPr>
          <w:p>
            <w:pPr>
              <w:spacing w:after="0"/>
              <w:rPr>
                <w:sz w:val="14"/>
                <w:szCs w:val="14"/>
                <w:color w:val="auto"/>
              </w:rPr>
            </w:pPr>
          </w:p>
        </w:tc>
        <w:tc>
          <w:tcPr>
            <w:tcW w:w="636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benefit of adjustment provisions that reduce the participation threshold for distributions in</w:t>
            </w:r>
          </w:p>
        </w:tc>
      </w:tr>
      <w:tr>
        <w:trPr>
          <w:trHeight w:val="166"/>
        </w:trPr>
        <w:tc>
          <w:tcPr>
            <w:tcW w:w="2140" w:type="dxa"/>
            <w:vAlign w:val="bottom"/>
            <w:tcBorders>
              <w:left w:val="single" w:sz="8" w:color="auto"/>
            </w:tcBorders>
          </w:tcPr>
          <w:p>
            <w:pPr>
              <w:spacing w:after="0"/>
              <w:rPr>
                <w:sz w:val="14"/>
                <w:szCs w:val="14"/>
                <w:color w:val="auto"/>
              </w:rPr>
            </w:pPr>
          </w:p>
        </w:tc>
        <w:tc>
          <w:tcPr>
            <w:tcW w:w="636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respect of which they do not participate until there is no participation threshold, at and after</w:t>
            </w:r>
          </w:p>
        </w:tc>
      </w:tr>
      <w:tr>
        <w:trPr>
          <w:trHeight w:val="166"/>
        </w:trPr>
        <w:tc>
          <w:tcPr>
            <w:tcW w:w="2140" w:type="dxa"/>
            <w:vAlign w:val="bottom"/>
            <w:tcBorders>
              <w:left w:val="single" w:sz="8" w:color="auto"/>
            </w:tcBorders>
          </w:tcPr>
          <w:p>
            <w:pPr>
              <w:spacing w:after="0"/>
              <w:rPr>
                <w:sz w:val="14"/>
                <w:szCs w:val="14"/>
                <w:color w:val="auto"/>
              </w:rPr>
            </w:pPr>
          </w:p>
        </w:tc>
        <w:tc>
          <w:tcPr>
            <w:tcW w:w="636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which time the Incentive Units would participate pro rata with distributions on Common</w:t>
            </w:r>
          </w:p>
        </w:tc>
      </w:tr>
      <w:tr>
        <w:trPr>
          <w:trHeight w:val="181"/>
        </w:trPr>
        <w:tc>
          <w:tcPr>
            <w:tcW w:w="2140" w:type="dxa"/>
            <w:vAlign w:val="bottom"/>
            <w:tcBorders>
              <w:left w:val="single" w:sz="8" w:color="auto"/>
            </w:tcBorders>
          </w:tcPr>
          <w:p>
            <w:pPr>
              <w:spacing w:after="0"/>
              <w:rPr>
                <w:sz w:val="15"/>
                <w:szCs w:val="15"/>
                <w:color w:val="auto"/>
              </w:rPr>
            </w:pPr>
          </w:p>
        </w:tc>
        <w:tc>
          <w:tcPr>
            <w:tcW w:w="636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Units. The adjustment to the participation threshold of an Incentive Unit for</w:t>
            </w:r>
          </w:p>
        </w:tc>
      </w:tr>
      <w:tr>
        <w:trPr>
          <w:trHeight w:val="130"/>
        </w:trPr>
        <w:tc>
          <w:tcPr>
            <w:tcW w:w="2140" w:type="dxa"/>
            <w:vAlign w:val="bottom"/>
            <w:tcBorders>
              <w:left w:val="single" w:sz="8" w:color="auto"/>
              <w:bottom w:val="single" w:sz="8" w:color="auto"/>
            </w:tcBorders>
          </w:tcPr>
          <w:p>
            <w:pPr>
              <w:spacing w:after="0"/>
              <w:rPr>
                <w:sz w:val="11"/>
                <w:szCs w:val="11"/>
                <w:color w:val="auto"/>
              </w:rPr>
            </w:pPr>
          </w:p>
        </w:tc>
        <w:tc>
          <w:tcPr>
            <w:tcW w:w="6360" w:type="dxa"/>
            <w:vAlign w:val="bottom"/>
            <w:tcBorders>
              <w:bottom w:val="single" w:sz="8" w:color="auto"/>
              <w:right w:val="single" w:sz="8" w:color="auto"/>
            </w:tcBorders>
          </w:tcPr>
          <w:p>
            <w:pPr>
              <w:spacing w:after="0"/>
              <w:rPr>
                <w:sz w:val="11"/>
                <w:szCs w:val="11"/>
                <w:color w:val="auto"/>
              </w:rPr>
            </w:pPr>
          </w:p>
        </w:tc>
      </w:tr>
      <w:tr>
        <w:trPr>
          <w:trHeight w:val="276"/>
        </w:trPr>
        <w:tc>
          <w:tcPr>
            <w:tcW w:w="2140" w:type="dxa"/>
            <w:vAlign w:val="bottom"/>
          </w:tcPr>
          <w:p>
            <w:pPr>
              <w:spacing w:after="0"/>
              <w:rPr>
                <w:sz w:val="24"/>
                <w:szCs w:val="24"/>
                <w:color w:val="auto"/>
              </w:rPr>
            </w:pPr>
          </w:p>
        </w:tc>
        <w:tc>
          <w:tcPr>
            <w:tcW w:w="6360" w:type="dxa"/>
            <w:vAlign w:val="bottom"/>
          </w:tcPr>
          <w:p>
            <w:pPr>
              <w:ind w:left="2040"/>
              <w:spacing w:after="0"/>
              <w:rPr>
                <w:sz w:val="20"/>
                <w:szCs w:val="20"/>
                <w:color w:val="auto"/>
              </w:rPr>
            </w:pPr>
            <w:r>
              <w:rPr>
                <w:rFonts w:ascii="Times New Roman" w:cs="Times New Roman" w:eastAsia="Times New Roman" w:hAnsi="Times New Roman"/>
                <w:sz w:val="14"/>
                <w:szCs w:val="14"/>
                <w:color w:val="auto"/>
              </w:rPr>
              <w:t>20</w:t>
            </w:r>
          </w:p>
        </w:tc>
      </w:tr>
    </w:tbl>
    <w:p>
      <w:pPr>
        <w:sectPr>
          <w:pgSz w:w="11900" w:h="16838" w:orient="portrait"/>
          <w:cols w:equalWidth="0" w:num="1">
            <w:col w:w="10159"/>
          </w:cols>
          <w:pgMar w:left="300" w:top="383"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36" w:lineRule="exact"/>
        <w:rPr>
          <w:sz w:val="20"/>
          <w:szCs w:val="20"/>
          <w:color w:val="auto"/>
        </w:rPr>
      </w:pPr>
    </w:p>
    <w:tbl>
      <w:tblPr>
        <w:tblLayout w:type="fixed"/>
        <w:tblInd w:w="1410" w:type="dxa"/>
        <w:tblCellMar>
          <w:top w:w="0" w:type="dxa"/>
          <w:left w:w="0" w:type="dxa"/>
          <w:bottom w:w="0" w:type="dxa"/>
          <w:right w:w="0" w:type="dxa"/>
        </w:tblCellMar>
      </w:tblPr>
      <w:tr>
        <w:trPr>
          <w:trHeight w:val="292"/>
        </w:trPr>
        <w:tc>
          <w:tcPr>
            <w:tcW w:w="3080" w:type="dxa"/>
            <w:vAlign w:val="bottom"/>
            <w:tcBorders>
              <w:top w:val="single" w:sz="8" w:color="auto"/>
              <w:left w:val="single" w:sz="8" w:color="auto"/>
            </w:tcBorders>
          </w:tcPr>
          <w:p>
            <w:pPr>
              <w:spacing w:after="0"/>
              <w:rPr>
                <w:sz w:val="24"/>
                <w:szCs w:val="24"/>
                <w:color w:val="auto"/>
              </w:rPr>
            </w:pPr>
          </w:p>
        </w:tc>
        <w:tc>
          <w:tcPr>
            <w:tcW w:w="5420" w:type="dxa"/>
            <w:vAlign w:val="bottom"/>
            <w:tcBorders>
              <w:top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distributions in respect of which such Incentive Unit does not participate is factored into</w:t>
            </w:r>
          </w:p>
        </w:tc>
      </w:tr>
      <w:tr>
        <w:trPr>
          <w:trHeight w:val="166"/>
        </w:trPr>
        <w:tc>
          <w:tcPr>
            <w:tcW w:w="3080" w:type="dxa"/>
            <w:vAlign w:val="bottom"/>
            <w:tcBorders>
              <w:left w:val="single" w:sz="8" w:color="auto"/>
            </w:tcBorders>
          </w:tcPr>
          <w:p>
            <w:pPr>
              <w:spacing w:after="0"/>
              <w:rPr>
                <w:sz w:val="14"/>
                <w:szCs w:val="14"/>
                <w:color w:val="auto"/>
              </w:rPr>
            </w:pPr>
          </w:p>
        </w:tc>
        <w:tc>
          <w:tcPr>
            <w:tcW w:w="54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calculating the number of Common Units the holder of vested Incentive Units receives</w:t>
            </w:r>
          </w:p>
        </w:tc>
      </w:tr>
      <w:tr>
        <w:trPr>
          <w:trHeight w:val="181"/>
        </w:trPr>
        <w:tc>
          <w:tcPr>
            <w:tcW w:w="3080" w:type="dxa"/>
            <w:vAlign w:val="bottom"/>
            <w:tcBorders>
              <w:left w:val="single" w:sz="8" w:color="auto"/>
            </w:tcBorders>
          </w:tcPr>
          <w:p>
            <w:pPr>
              <w:spacing w:after="0"/>
              <w:rPr>
                <w:sz w:val="15"/>
                <w:szCs w:val="15"/>
                <w:color w:val="auto"/>
              </w:rPr>
            </w:pPr>
          </w:p>
        </w:tc>
        <w:tc>
          <w:tcPr>
            <w:tcW w:w="54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upon conversion of a vested Incentive Unit for a Common Unit.</w:t>
            </w:r>
          </w:p>
        </w:tc>
      </w:tr>
      <w:tr>
        <w:trPr>
          <w:trHeight w:val="349"/>
        </w:trPr>
        <w:tc>
          <w:tcPr>
            <w:tcW w:w="3080" w:type="dxa"/>
            <w:vAlign w:val="bottom"/>
            <w:tcBorders>
              <w:left w:val="single" w:sz="8" w:color="auto"/>
            </w:tcBorders>
          </w:tcPr>
          <w:p>
            <w:pPr>
              <w:spacing w:after="0"/>
              <w:rPr>
                <w:sz w:val="24"/>
                <w:szCs w:val="24"/>
                <w:color w:val="auto"/>
              </w:rPr>
            </w:pPr>
          </w:p>
        </w:tc>
        <w:tc>
          <w:tcPr>
            <w:tcW w:w="54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Under the terms of the amended and restated limited partnership agreement, Medline</w:t>
            </w:r>
          </w:p>
        </w:tc>
      </w:tr>
      <w:tr>
        <w:trPr>
          <w:trHeight w:val="166"/>
        </w:trPr>
        <w:tc>
          <w:tcPr>
            <w:tcW w:w="3080" w:type="dxa"/>
            <w:vAlign w:val="bottom"/>
            <w:tcBorders>
              <w:left w:val="single" w:sz="8" w:color="auto"/>
            </w:tcBorders>
          </w:tcPr>
          <w:p>
            <w:pPr>
              <w:spacing w:after="0"/>
              <w:rPr>
                <w:sz w:val="14"/>
                <w:szCs w:val="14"/>
                <w:color w:val="auto"/>
              </w:rPr>
            </w:pPr>
          </w:p>
        </w:tc>
        <w:tc>
          <w:tcPr>
            <w:tcW w:w="54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Holdings is obligated to make tax distributions to holders of Units (including Medline Inc.)</w:t>
            </w:r>
          </w:p>
        </w:tc>
      </w:tr>
      <w:tr>
        <w:trPr>
          <w:trHeight w:val="166"/>
        </w:trPr>
        <w:tc>
          <w:tcPr>
            <w:tcW w:w="3080" w:type="dxa"/>
            <w:vAlign w:val="bottom"/>
            <w:tcBorders>
              <w:left w:val="single" w:sz="8" w:color="auto"/>
            </w:tcBorders>
          </w:tcPr>
          <w:p>
            <w:pPr>
              <w:spacing w:after="0"/>
              <w:rPr>
                <w:sz w:val="14"/>
                <w:szCs w:val="14"/>
                <w:color w:val="auto"/>
              </w:rPr>
            </w:pPr>
          </w:p>
        </w:tc>
        <w:tc>
          <w:tcPr>
            <w:tcW w:w="54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at certain assumed tax rates. See “Part I—Item 1A—Risk Factors—Risks Related to Our</w:t>
            </w:r>
          </w:p>
        </w:tc>
      </w:tr>
      <w:tr>
        <w:trPr>
          <w:trHeight w:val="166"/>
        </w:trPr>
        <w:tc>
          <w:tcPr>
            <w:tcW w:w="3080" w:type="dxa"/>
            <w:vAlign w:val="bottom"/>
            <w:tcBorders>
              <w:left w:val="single" w:sz="8" w:color="auto"/>
            </w:tcBorders>
          </w:tcPr>
          <w:p>
            <w:pPr>
              <w:spacing w:after="0"/>
              <w:rPr>
                <w:sz w:val="14"/>
                <w:szCs w:val="14"/>
                <w:color w:val="auto"/>
              </w:rPr>
            </w:pPr>
          </w:p>
        </w:tc>
        <w:tc>
          <w:tcPr>
            <w:tcW w:w="54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Organizational Structure—Medline Inc. is a holding company and its only material assets</w:t>
            </w:r>
          </w:p>
        </w:tc>
      </w:tr>
      <w:tr>
        <w:trPr>
          <w:trHeight w:val="166"/>
        </w:trPr>
        <w:tc>
          <w:tcPr>
            <w:tcW w:w="3080" w:type="dxa"/>
            <w:vAlign w:val="bottom"/>
            <w:tcBorders>
              <w:left w:val="single" w:sz="8" w:color="auto"/>
            </w:tcBorders>
          </w:tcPr>
          <w:p>
            <w:pPr>
              <w:spacing w:after="0"/>
              <w:rPr>
                <w:sz w:val="14"/>
                <w:szCs w:val="14"/>
                <w:color w:val="auto"/>
              </w:rPr>
            </w:pPr>
          </w:p>
        </w:tc>
        <w:tc>
          <w:tcPr>
            <w:tcW w:w="54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are its equity interests held directly or indirectly through wholly owned subsidiaries in</w:t>
            </w:r>
          </w:p>
        </w:tc>
      </w:tr>
      <w:tr>
        <w:trPr>
          <w:trHeight w:val="166"/>
        </w:trPr>
        <w:tc>
          <w:tcPr>
            <w:tcW w:w="3080" w:type="dxa"/>
            <w:vAlign w:val="bottom"/>
            <w:tcBorders>
              <w:left w:val="single" w:sz="8" w:color="auto"/>
            </w:tcBorders>
          </w:tcPr>
          <w:p>
            <w:pPr>
              <w:spacing w:after="0"/>
              <w:rPr>
                <w:sz w:val="14"/>
                <w:szCs w:val="14"/>
                <w:color w:val="auto"/>
              </w:rPr>
            </w:pPr>
          </w:p>
        </w:tc>
        <w:tc>
          <w:tcPr>
            <w:tcW w:w="54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Medline Holdings, and it is accordingly dependent upon distributions from Medline</w:t>
            </w:r>
          </w:p>
        </w:tc>
      </w:tr>
      <w:tr>
        <w:trPr>
          <w:trHeight w:val="166"/>
        </w:trPr>
        <w:tc>
          <w:tcPr>
            <w:tcW w:w="3080" w:type="dxa"/>
            <w:vAlign w:val="bottom"/>
            <w:tcBorders>
              <w:left w:val="single" w:sz="8" w:color="auto"/>
            </w:tcBorders>
          </w:tcPr>
          <w:p>
            <w:pPr>
              <w:spacing w:after="0"/>
              <w:rPr>
                <w:sz w:val="14"/>
                <w:szCs w:val="14"/>
                <w:color w:val="auto"/>
              </w:rPr>
            </w:pPr>
          </w:p>
        </w:tc>
        <w:tc>
          <w:tcPr>
            <w:tcW w:w="54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Holdings to pay taxes, make payments under the tax receivable agreement, and pay any</w:t>
            </w:r>
          </w:p>
        </w:tc>
      </w:tr>
      <w:tr>
        <w:trPr>
          <w:trHeight w:val="181"/>
        </w:trPr>
        <w:tc>
          <w:tcPr>
            <w:tcW w:w="3080" w:type="dxa"/>
            <w:vAlign w:val="bottom"/>
            <w:tcBorders>
              <w:left w:val="single" w:sz="8" w:color="auto"/>
            </w:tcBorders>
          </w:tcPr>
          <w:p>
            <w:pPr>
              <w:spacing w:after="0"/>
              <w:rPr>
                <w:sz w:val="15"/>
                <w:szCs w:val="15"/>
                <w:color w:val="auto"/>
              </w:rPr>
            </w:pPr>
          </w:p>
        </w:tc>
        <w:tc>
          <w:tcPr>
            <w:tcW w:w="54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dividends” in our 2025 Form 10-K incorporated by reference in this prospectus.</w:t>
            </w:r>
          </w:p>
        </w:tc>
      </w:tr>
      <w:tr>
        <w:trPr>
          <w:trHeight w:val="338"/>
        </w:trPr>
        <w:tc>
          <w:tcPr>
            <w:tcW w:w="308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Exchange rights of holders of Common Units and</w:t>
            </w:r>
          </w:p>
        </w:tc>
        <w:tc>
          <w:tcPr>
            <w:tcW w:w="54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Prior to our IPO, we entered into an exchange agreement with the Continuing Unitholders</w:t>
            </w:r>
          </w:p>
        </w:tc>
      </w:tr>
      <w:tr>
        <w:trPr>
          <w:trHeight w:val="166"/>
        </w:trPr>
        <w:tc>
          <w:tcPr>
            <w:tcW w:w="308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Incentive Units</w:t>
            </w:r>
          </w:p>
        </w:tc>
        <w:tc>
          <w:tcPr>
            <w:tcW w:w="54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so that they may (subject to the terms of the exchange agreement) exchange their Common</w:t>
            </w:r>
          </w:p>
        </w:tc>
      </w:tr>
      <w:tr>
        <w:trPr>
          <w:trHeight w:val="166"/>
        </w:trPr>
        <w:tc>
          <w:tcPr>
            <w:tcW w:w="3080" w:type="dxa"/>
            <w:vAlign w:val="bottom"/>
            <w:tcBorders>
              <w:left w:val="single" w:sz="8" w:color="auto"/>
            </w:tcBorders>
          </w:tcPr>
          <w:p>
            <w:pPr>
              <w:spacing w:after="0"/>
              <w:rPr>
                <w:sz w:val="14"/>
                <w:szCs w:val="14"/>
                <w:color w:val="auto"/>
              </w:rPr>
            </w:pPr>
          </w:p>
        </w:tc>
        <w:tc>
          <w:tcPr>
            <w:tcW w:w="54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Units (including Common Units issued upon conversion of vested Incentive Units) for</w:t>
            </w:r>
          </w:p>
        </w:tc>
      </w:tr>
      <w:tr>
        <w:trPr>
          <w:trHeight w:val="166"/>
        </w:trPr>
        <w:tc>
          <w:tcPr>
            <w:tcW w:w="3080" w:type="dxa"/>
            <w:vAlign w:val="bottom"/>
            <w:tcBorders>
              <w:left w:val="single" w:sz="8" w:color="auto"/>
            </w:tcBorders>
          </w:tcPr>
          <w:p>
            <w:pPr>
              <w:spacing w:after="0"/>
              <w:rPr>
                <w:sz w:val="14"/>
                <w:szCs w:val="14"/>
                <w:color w:val="auto"/>
              </w:rPr>
            </w:pPr>
          </w:p>
        </w:tc>
        <w:tc>
          <w:tcPr>
            <w:tcW w:w="54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shares of Class A common stock of Medline Inc. on a one-for-one basis, subject to</w:t>
            </w:r>
          </w:p>
        </w:tc>
      </w:tr>
      <w:tr>
        <w:trPr>
          <w:trHeight w:val="166"/>
        </w:trPr>
        <w:tc>
          <w:tcPr>
            <w:tcW w:w="3080" w:type="dxa"/>
            <w:vAlign w:val="bottom"/>
            <w:tcBorders>
              <w:left w:val="single" w:sz="8" w:color="auto"/>
            </w:tcBorders>
          </w:tcPr>
          <w:p>
            <w:pPr>
              <w:spacing w:after="0"/>
              <w:rPr>
                <w:sz w:val="14"/>
                <w:szCs w:val="14"/>
                <w:color w:val="auto"/>
              </w:rPr>
            </w:pPr>
          </w:p>
        </w:tc>
        <w:tc>
          <w:tcPr>
            <w:tcW w:w="54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customary conversion rate adjustments for stock splits, stock dividends and</w:t>
            </w:r>
          </w:p>
        </w:tc>
      </w:tr>
      <w:tr>
        <w:trPr>
          <w:trHeight w:val="166"/>
        </w:trPr>
        <w:tc>
          <w:tcPr>
            <w:tcW w:w="3080" w:type="dxa"/>
            <w:vAlign w:val="bottom"/>
            <w:tcBorders>
              <w:left w:val="single" w:sz="8" w:color="auto"/>
            </w:tcBorders>
          </w:tcPr>
          <w:p>
            <w:pPr>
              <w:spacing w:after="0"/>
              <w:rPr>
                <w:sz w:val="14"/>
                <w:szCs w:val="14"/>
                <w:color w:val="auto"/>
              </w:rPr>
            </w:pPr>
          </w:p>
        </w:tc>
        <w:tc>
          <w:tcPr>
            <w:tcW w:w="54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reclassifications, whereupon an equivalent number of shares of Class B common stock held</w:t>
            </w:r>
          </w:p>
        </w:tc>
      </w:tr>
      <w:tr>
        <w:trPr>
          <w:trHeight w:val="166"/>
        </w:trPr>
        <w:tc>
          <w:tcPr>
            <w:tcW w:w="3080" w:type="dxa"/>
            <w:vAlign w:val="bottom"/>
            <w:tcBorders>
              <w:left w:val="single" w:sz="8" w:color="auto"/>
            </w:tcBorders>
          </w:tcPr>
          <w:p>
            <w:pPr>
              <w:spacing w:after="0"/>
              <w:rPr>
                <w:sz w:val="14"/>
                <w:szCs w:val="14"/>
                <w:color w:val="auto"/>
              </w:rPr>
            </w:pPr>
          </w:p>
        </w:tc>
        <w:tc>
          <w:tcPr>
            <w:tcW w:w="54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by each such Continuing Unitholder will be automatically transferred to us and cancelled</w:t>
            </w:r>
          </w:p>
        </w:tc>
      </w:tr>
      <w:tr>
        <w:trPr>
          <w:trHeight w:val="166"/>
        </w:trPr>
        <w:tc>
          <w:tcPr>
            <w:tcW w:w="3080" w:type="dxa"/>
            <w:vAlign w:val="bottom"/>
            <w:tcBorders>
              <w:left w:val="single" w:sz="8" w:color="auto"/>
            </w:tcBorders>
          </w:tcPr>
          <w:p>
            <w:pPr>
              <w:spacing w:after="0"/>
              <w:rPr>
                <w:sz w:val="14"/>
                <w:szCs w:val="14"/>
                <w:color w:val="auto"/>
              </w:rPr>
            </w:pPr>
          </w:p>
        </w:tc>
        <w:tc>
          <w:tcPr>
            <w:tcW w:w="54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and retired upon any such exchange. See “Part III—Item 13—Certain Relationships and</w:t>
            </w:r>
          </w:p>
        </w:tc>
      </w:tr>
      <w:tr>
        <w:trPr>
          <w:trHeight w:val="166"/>
        </w:trPr>
        <w:tc>
          <w:tcPr>
            <w:tcW w:w="3080" w:type="dxa"/>
            <w:vAlign w:val="bottom"/>
            <w:tcBorders>
              <w:left w:val="single" w:sz="8" w:color="auto"/>
            </w:tcBorders>
          </w:tcPr>
          <w:p>
            <w:pPr>
              <w:spacing w:after="0"/>
              <w:rPr>
                <w:sz w:val="14"/>
                <w:szCs w:val="14"/>
                <w:color w:val="auto"/>
              </w:rPr>
            </w:pPr>
          </w:p>
        </w:tc>
        <w:tc>
          <w:tcPr>
            <w:tcW w:w="54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Related Transactions, and Director Independence” in our 2025 Form 10-K incorporated by</w:t>
            </w:r>
          </w:p>
        </w:tc>
      </w:tr>
      <w:tr>
        <w:trPr>
          <w:trHeight w:val="181"/>
        </w:trPr>
        <w:tc>
          <w:tcPr>
            <w:tcW w:w="3080" w:type="dxa"/>
            <w:vAlign w:val="bottom"/>
            <w:tcBorders>
              <w:left w:val="single" w:sz="8" w:color="auto"/>
            </w:tcBorders>
          </w:tcPr>
          <w:p>
            <w:pPr>
              <w:spacing w:after="0"/>
              <w:rPr>
                <w:sz w:val="15"/>
                <w:szCs w:val="15"/>
                <w:color w:val="auto"/>
              </w:rPr>
            </w:pPr>
          </w:p>
        </w:tc>
        <w:tc>
          <w:tcPr>
            <w:tcW w:w="54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reference in this prospectus.</w:t>
            </w:r>
          </w:p>
        </w:tc>
      </w:tr>
      <w:tr>
        <w:trPr>
          <w:trHeight w:val="338"/>
        </w:trPr>
        <w:tc>
          <w:tcPr>
            <w:tcW w:w="3080" w:type="dxa"/>
            <w:vAlign w:val="bottom"/>
            <w:tcBorders>
              <w:left w:val="single" w:sz="8" w:color="auto"/>
            </w:tcBorders>
          </w:tcPr>
          <w:p>
            <w:pPr>
              <w:spacing w:after="0"/>
              <w:rPr>
                <w:sz w:val="24"/>
                <w:szCs w:val="24"/>
                <w:color w:val="auto"/>
              </w:rPr>
            </w:pPr>
          </w:p>
        </w:tc>
        <w:tc>
          <w:tcPr>
            <w:tcW w:w="54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Subject to certain restrictions, the holders of vested Incentive Units have the right to</w:t>
            </w:r>
          </w:p>
        </w:tc>
      </w:tr>
      <w:tr>
        <w:trPr>
          <w:trHeight w:val="166"/>
        </w:trPr>
        <w:tc>
          <w:tcPr>
            <w:tcW w:w="3080" w:type="dxa"/>
            <w:vAlign w:val="bottom"/>
            <w:tcBorders>
              <w:left w:val="single" w:sz="8" w:color="auto"/>
            </w:tcBorders>
          </w:tcPr>
          <w:p>
            <w:pPr>
              <w:spacing w:after="0"/>
              <w:rPr>
                <w:sz w:val="14"/>
                <w:szCs w:val="14"/>
                <w:color w:val="auto"/>
              </w:rPr>
            </w:pPr>
          </w:p>
        </w:tc>
        <w:tc>
          <w:tcPr>
            <w:tcW w:w="54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convert their vested Incentive Units into a number of Common Units that generally are</w:t>
            </w:r>
          </w:p>
        </w:tc>
      </w:tr>
      <w:tr>
        <w:trPr>
          <w:trHeight w:val="166"/>
        </w:trPr>
        <w:tc>
          <w:tcPr>
            <w:tcW w:w="3080" w:type="dxa"/>
            <w:vAlign w:val="bottom"/>
            <w:tcBorders>
              <w:left w:val="single" w:sz="8" w:color="auto"/>
            </w:tcBorders>
          </w:tcPr>
          <w:p>
            <w:pPr>
              <w:spacing w:after="0"/>
              <w:rPr>
                <w:sz w:val="14"/>
                <w:szCs w:val="14"/>
                <w:color w:val="auto"/>
              </w:rPr>
            </w:pPr>
          </w:p>
        </w:tc>
        <w:tc>
          <w:tcPr>
            <w:tcW w:w="54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equal to (a) the product of the number of vested Incentive Units to be converted with a</w:t>
            </w:r>
          </w:p>
        </w:tc>
      </w:tr>
      <w:tr>
        <w:trPr>
          <w:trHeight w:val="166"/>
        </w:trPr>
        <w:tc>
          <w:tcPr>
            <w:tcW w:w="3080" w:type="dxa"/>
            <w:vAlign w:val="bottom"/>
            <w:tcBorders>
              <w:left w:val="single" w:sz="8" w:color="auto"/>
            </w:tcBorders>
          </w:tcPr>
          <w:p>
            <w:pPr>
              <w:spacing w:after="0"/>
              <w:rPr>
                <w:sz w:val="14"/>
                <w:szCs w:val="14"/>
                <w:color w:val="auto"/>
              </w:rPr>
            </w:pPr>
          </w:p>
        </w:tc>
        <w:tc>
          <w:tcPr>
            <w:tcW w:w="54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given per unit participation threshold and then-current difference between the per unit</w:t>
            </w:r>
          </w:p>
        </w:tc>
      </w:tr>
      <w:tr>
        <w:trPr>
          <w:trHeight w:val="166"/>
        </w:trPr>
        <w:tc>
          <w:tcPr>
            <w:tcW w:w="3080" w:type="dxa"/>
            <w:vAlign w:val="bottom"/>
            <w:tcBorders>
              <w:left w:val="single" w:sz="8" w:color="auto"/>
            </w:tcBorders>
          </w:tcPr>
          <w:p>
            <w:pPr>
              <w:spacing w:after="0"/>
              <w:rPr>
                <w:sz w:val="14"/>
                <w:szCs w:val="14"/>
                <w:color w:val="auto"/>
              </w:rPr>
            </w:pPr>
          </w:p>
        </w:tc>
        <w:tc>
          <w:tcPr>
            <w:tcW w:w="54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value of a Common Unit at the time of the conversion (based on the public trading price of</w:t>
            </w:r>
          </w:p>
        </w:tc>
      </w:tr>
      <w:tr>
        <w:trPr>
          <w:trHeight w:val="166"/>
        </w:trPr>
        <w:tc>
          <w:tcPr>
            <w:tcW w:w="3080" w:type="dxa"/>
            <w:vAlign w:val="bottom"/>
            <w:tcBorders>
              <w:left w:val="single" w:sz="8" w:color="auto"/>
            </w:tcBorders>
          </w:tcPr>
          <w:p>
            <w:pPr>
              <w:spacing w:after="0"/>
              <w:rPr>
                <w:sz w:val="14"/>
                <w:szCs w:val="14"/>
                <w:color w:val="auto"/>
              </w:rPr>
            </w:pPr>
          </w:p>
        </w:tc>
        <w:tc>
          <w:tcPr>
            <w:tcW w:w="54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a share of Class A common stock) and the per unit participation threshold of such vested</w:t>
            </w:r>
          </w:p>
        </w:tc>
      </w:tr>
      <w:tr>
        <w:trPr>
          <w:trHeight w:val="166"/>
        </w:trPr>
        <w:tc>
          <w:tcPr>
            <w:tcW w:w="3080" w:type="dxa"/>
            <w:vAlign w:val="bottom"/>
            <w:tcBorders>
              <w:left w:val="single" w:sz="8" w:color="auto"/>
            </w:tcBorders>
          </w:tcPr>
          <w:p>
            <w:pPr>
              <w:spacing w:after="0"/>
              <w:rPr>
                <w:sz w:val="14"/>
                <w:szCs w:val="14"/>
                <w:color w:val="auto"/>
              </w:rPr>
            </w:pPr>
          </w:p>
        </w:tc>
        <w:tc>
          <w:tcPr>
            <w:tcW w:w="54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Incentive Units divided by (b) the per unit value of a Common Unit at the time of the</w:t>
            </w:r>
          </w:p>
        </w:tc>
      </w:tr>
      <w:tr>
        <w:trPr>
          <w:trHeight w:val="166"/>
        </w:trPr>
        <w:tc>
          <w:tcPr>
            <w:tcW w:w="3080" w:type="dxa"/>
            <w:vAlign w:val="bottom"/>
            <w:tcBorders>
              <w:left w:val="single" w:sz="8" w:color="auto"/>
            </w:tcBorders>
          </w:tcPr>
          <w:p>
            <w:pPr>
              <w:spacing w:after="0"/>
              <w:rPr>
                <w:sz w:val="14"/>
                <w:szCs w:val="14"/>
                <w:color w:val="auto"/>
              </w:rPr>
            </w:pPr>
          </w:p>
        </w:tc>
        <w:tc>
          <w:tcPr>
            <w:tcW w:w="54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conversion (based on the public trading price of a share of Class A common stock), subject</w:t>
            </w:r>
          </w:p>
        </w:tc>
      </w:tr>
      <w:tr>
        <w:trPr>
          <w:trHeight w:val="166"/>
        </w:trPr>
        <w:tc>
          <w:tcPr>
            <w:tcW w:w="3080" w:type="dxa"/>
            <w:vAlign w:val="bottom"/>
            <w:tcBorders>
              <w:left w:val="single" w:sz="8" w:color="auto"/>
            </w:tcBorders>
          </w:tcPr>
          <w:p>
            <w:pPr>
              <w:spacing w:after="0"/>
              <w:rPr>
                <w:sz w:val="14"/>
                <w:szCs w:val="14"/>
                <w:color w:val="auto"/>
              </w:rPr>
            </w:pPr>
          </w:p>
        </w:tc>
        <w:tc>
          <w:tcPr>
            <w:tcW w:w="54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to certain adjustments. See “Part III—Item 13—Certain Relationships and Related</w:t>
            </w:r>
          </w:p>
        </w:tc>
      </w:tr>
      <w:tr>
        <w:trPr>
          <w:trHeight w:val="166"/>
        </w:trPr>
        <w:tc>
          <w:tcPr>
            <w:tcW w:w="3080" w:type="dxa"/>
            <w:vAlign w:val="bottom"/>
            <w:tcBorders>
              <w:left w:val="single" w:sz="8" w:color="auto"/>
            </w:tcBorders>
          </w:tcPr>
          <w:p>
            <w:pPr>
              <w:spacing w:after="0"/>
              <w:rPr>
                <w:sz w:val="14"/>
                <w:szCs w:val="14"/>
                <w:color w:val="auto"/>
              </w:rPr>
            </w:pPr>
          </w:p>
        </w:tc>
        <w:tc>
          <w:tcPr>
            <w:tcW w:w="54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Transactions, and Director Independence” in our 2025 Form 10-K incorporated by</w:t>
            </w:r>
          </w:p>
        </w:tc>
      </w:tr>
      <w:tr>
        <w:trPr>
          <w:trHeight w:val="166"/>
        </w:trPr>
        <w:tc>
          <w:tcPr>
            <w:tcW w:w="3080" w:type="dxa"/>
            <w:vAlign w:val="bottom"/>
            <w:tcBorders>
              <w:left w:val="single" w:sz="8" w:color="auto"/>
            </w:tcBorders>
          </w:tcPr>
          <w:p>
            <w:pPr>
              <w:spacing w:after="0"/>
              <w:rPr>
                <w:sz w:val="14"/>
                <w:szCs w:val="14"/>
                <w:color w:val="auto"/>
              </w:rPr>
            </w:pPr>
          </w:p>
        </w:tc>
        <w:tc>
          <w:tcPr>
            <w:tcW w:w="54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reference in this prospectus. Common Units received upon conversion are exchangeable on</w:t>
            </w:r>
          </w:p>
        </w:tc>
      </w:tr>
      <w:tr>
        <w:trPr>
          <w:trHeight w:val="166"/>
        </w:trPr>
        <w:tc>
          <w:tcPr>
            <w:tcW w:w="3080" w:type="dxa"/>
            <w:vAlign w:val="bottom"/>
            <w:tcBorders>
              <w:left w:val="single" w:sz="8" w:color="auto"/>
            </w:tcBorders>
          </w:tcPr>
          <w:p>
            <w:pPr>
              <w:spacing w:after="0"/>
              <w:rPr>
                <w:sz w:val="14"/>
                <w:szCs w:val="14"/>
                <w:color w:val="auto"/>
              </w:rPr>
            </w:pPr>
          </w:p>
        </w:tc>
        <w:tc>
          <w:tcPr>
            <w:tcW w:w="54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a one-for-one basis for shares of Class A common stock of Medline Inc. in accordance with</w:t>
            </w:r>
          </w:p>
        </w:tc>
      </w:tr>
      <w:tr>
        <w:trPr>
          <w:trHeight w:val="166"/>
        </w:trPr>
        <w:tc>
          <w:tcPr>
            <w:tcW w:w="3080" w:type="dxa"/>
            <w:vAlign w:val="bottom"/>
            <w:tcBorders>
              <w:left w:val="single" w:sz="8" w:color="auto"/>
            </w:tcBorders>
          </w:tcPr>
          <w:p>
            <w:pPr>
              <w:spacing w:after="0"/>
              <w:rPr>
                <w:sz w:val="14"/>
                <w:szCs w:val="14"/>
                <w:color w:val="auto"/>
              </w:rPr>
            </w:pPr>
          </w:p>
        </w:tc>
        <w:tc>
          <w:tcPr>
            <w:tcW w:w="54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the terms of the exchange agreement. An unvested Incentive Unit is not exchangeable</w:t>
            </w:r>
          </w:p>
        </w:tc>
      </w:tr>
      <w:tr>
        <w:trPr>
          <w:trHeight w:val="181"/>
        </w:trPr>
        <w:tc>
          <w:tcPr>
            <w:tcW w:w="3080" w:type="dxa"/>
            <w:vAlign w:val="bottom"/>
            <w:tcBorders>
              <w:left w:val="single" w:sz="8" w:color="auto"/>
            </w:tcBorders>
          </w:tcPr>
          <w:p>
            <w:pPr>
              <w:spacing w:after="0"/>
              <w:rPr>
                <w:sz w:val="15"/>
                <w:szCs w:val="15"/>
                <w:color w:val="auto"/>
              </w:rPr>
            </w:pPr>
          </w:p>
        </w:tc>
        <w:tc>
          <w:tcPr>
            <w:tcW w:w="54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unless and until such Incentive Unit vests.</w:t>
            </w:r>
          </w:p>
        </w:tc>
      </w:tr>
      <w:tr>
        <w:trPr>
          <w:trHeight w:val="130"/>
        </w:trPr>
        <w:tc>
          <w:tcPr>
            <w:tcW w:w="3080" w:type="dxa"/>
            <w:vAlign w:val="bottom"/>
            <w:tcBorders>
              <w:left w:val="single" w:sz="8" w:color="auto"/>
              <w:bottom w:val="single" w:sz="8" w:color="auto"/>
            </w:tcBorders>
          </w:tcPr>
          <w:p>
            <w:pPr>
              <w:spacing w:after="0"/>
              <w:rPr>
                <w:sz w:val="11"/>
                <w:szCs w:val="11"/>
                <w:color w:val="auto"/>
              </w:rPr>
            </w:pPr>
          </w:p>
        </w:tc>
        <w:tc>
          <w:tcPr>
            <w:tcW w:w="5420" w:type="dxa"/>
            <w:vAlign w:val="bottom"/>
            <w:tcBorders>
              <w:bottom w:val="single" w:sz="8" w:color="auto"/>
              <w:right w:val="single" w:sz="8" w:color="auto"/>
            </w:tcBorders>
          </w:tcPr>
          <w:p>
            <w:pPr>
              <w:spacing w:after="0"/>
              <w:rPr>
                <w:sz w:val="11"/>
                <w:szCs w:val="11"/>
                <w:color w:val="auto"/>
              </w:rPr>
            </w:pPr>
          </w:p>
        </w:tc>
      </w:tr>
      <w:tr>
        <w:trPr>
          <w:trHeight w:val="276"/>
        </w:trPr>
        <w:tc>
          <w:tcPr>
            <w:tcW w:w="3080" w:type="dxa"/>
            <w:vAlign w:val="bottom"/>
          </w:tcPr>
          <w:p>
            <w:pPr>
              <w:spacing w:after="0"/>
              <w:rPr>
                <w:sz w:val="24"/>
                <w:szCs w:val="24"/>
                <w:color w:val="auto"/>
              </w:rPr>
            </w:pPr>
          </w:p>
        </w:tc>
        <w:tc>
          <w:tcPr>
            <w:tcW w:w="542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21</w:t>
            </w:r>
          </w:p>
        </w:tc>
      </w:tr>
    </w:tbl>
    <w:p>
      <w:pPr>
        <w:sectPr>
          <w:pgSz w:w="11900" w:h="16838" w:orient="portrait"/>
          <w:cols w:equalWidth="0" w:num="1">
            <w:col w:w="10159"/>
          </w:cols>
          <w:pgMar w:left="300" w:top="383"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36" w:lineRule="exact"/>
        <w:rPr>
          <w:sz w:val="20"/>
          <w:szCs w:val="20"/>
          <w:color w:val="auto"/>
        </w:rPr>
      </w:pPr>
    </w:p>
    <w:tbl>
      <w:tblPr>
        <w:tblLayout w:type="fixed"/>
        <w:tblInd w:w="1410" w:type="dxa"/>
        <w:tblCellMar>
          <w:top w:w="0" w:type="dxa"/>
          <w:left w:w="0" w:type="dxa"/>
          <w:bottom w:w="0" w:type="dxa"/>
          <w:right w:w="0" w:type="dxa"/>
        </w:tblCellMar>
      </w:tblPr>
      <w:tr>
        <w:trPr>
          <w:trHeight w:val="292"/>
        </w:trPr>
        <w:tc>
          <w:tcPr>
            <w:tcW w:w="2400" w:type="dxa"/>
            <w:vAlign w:val="bottom"/>
            <w:tcBorders>
              <w:top w:val="single" w:sz="8" w:color="auto"/>
              <w:lef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Tax receivable agreement</w:t>
            </w:r>
          </w:p>
        </w:tc>
        <w:tc>
          <w:tcPr>
            <w:tcW w:w="6100" w:type="dxa"/>
            <w:vAlign w:val="bottom"/>
            <w:tcBorders>
              <w:top w:val="single" w:sz="8" w:color="auto"/>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Prior to the completion of our IPO, we entered into a tax receivable agreement with certain</w:t>
            </w:r>
          </w:p>
        </w:tc>
      </w:tr>
      <w:tr>
        <w:trPr>
          <w:trHeight w:val="166"/>
        </w:trPr>
        <w:tc>
          <w:tcPr>
            <w:tcW w:w="2400" w:type="dxa"/>
            <w:vAlign w:val="bottom"/>
            <w:tcBorders>
              <w:left w:val="single" w:sz="8" w:color="auto"/>
            </w:tcBorders>
          </w:tcPr>
          <w:p>
            <w:pPr>
              <w:spacing w:after="0"/>
              <w:rPr>
                <w:sz w:val="14"/>
                <w:szCs w:val="14"/>
                <w:color w:val="auto"/>
              </w:rPr>
            </w:pPr>
          </w:p>
        </w:tc>
        <w:tc>
          <w:tcPr>
            <w:tcW w:w="61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of our pre-IPO owners that provides for the payment by Medline Inc. to such pre-IPO</w:t>
            </w:r>
          </w:p>
        </w:tc>
      </w:tr>
      <w:tr>
        <w:trPr>
          <w:trHeight w:val="166"/>
        </w:trPr>
        <w:tc>
          <w:tcPr>
            <w:tcW w:w="2400" w:type="dxa"/>
            <w:vAlign w:val="bottom"/>
            <w:tcBorders>
              <w:left w:val="single" w:sz="8" w:color="auto"/>
            </w:tcBorders>
          </w:tcPr>
          <w:p>
            <w:pPr>
              <w:spacing w:after="0"/>
              <w:rPr>
                <w:sz w:val="14"/>
                <w:szCs w:val="14"/>
                <w:color w:val="auto"/>
              </w:rPr>
            </w:pPr>
          </w:p>
        </w:tc>
        <w:tc>
          <w:tcPr>
            <w:tcW w:w="61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owners of 90% of certain tax benefits, if any, that Medline Inc. realizes, or is deemed to</w:t>
            </w:r>
          </w:p>
        </w:tc>
      </w:tr>
      <w:tr>
        <w:trPr>
          <w:trHeight w:val="166"/>
        </w:trPr>
        <w:tc>
          <w:tcPr>
            <w:tcW w:w="2400" w:type="dxa"/>
            <w:vAlign w:val="bottom"/>
            <w:tcBorders>
              <w:left w:val="single" w:sz="8" w:color="auto"/>
            </w:tcBorders>
          </w:tcPr>
          <w:p>
            <w:pPr>
              <w:spacing w:after="0"/>
              <w:rPr>
                <w:sz w:val="14"/>
                <w:szCs w:val="14"/>
                <w:color w:val="auto"/>
              </w:rPr>
            </w:pPr>
          </w:p>
        </w:tc>
        <w:tc>
          <w:tcPr>
            <w:tcW w:w="61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realize (calculated using certain assumptions), as a result of (i) Medline Inc.’s allocable</w:t>
            </w:r>
          </w:p>
        </w:tc>
      </w:tr>
      <w:tr>
        <w:trPr>
          <w:trHeight w:val="166"/>
        </w:trPr>
        <w:tc>
          <w:tcPr>
            <w:tcW w:w="2400" w:type="dxa"/>
            <w:vAlign w:val="bottom"/>
            <w:tcBorders>
              <w:left w:val="single" w:sz="8" w:color="auto"/>
            </w:tcBorders>
          </w:tcPr>
          <w:p>
            <w:pPr>
              <w:spacing w:after="0"/>
              <w:rPr>
                <w:sz w:val="14"/>
                <w:szCs w:val="14"/>
                <w:color w:val="auto"/>
              </w:rPr>
            </w:pPr>
          </w:p>
        </w:tc>
        <w:tc>
          <w:tcPr>
            <w:tcW w:w="61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share of the existing tax basis in Medline Holdings’ assets acquired in our IPO,</w:t>
            </w:r>
          </w:p>
        </w:tc>
      </w:tr>
      <w:tr>
        <w:trPr>
          <w:trHeight w:val="166"/>
        </w:trPr>
        <w:tc>
          <w:tcPr>
            <w:tcW w:w="2400" w:type="dxa"/>
            <w:vAlign w:val="bottom"/>
            <w:tcBorders>
              <w:left w:val="single" w:sz="8" w:color="auto"/>
            </w:tcBorders>
          </w:tcPr>
          <w:p>
            <w:pPr>
              <w:spacing w:after="0"/>
              <w:rPr>
                <w:sz w:val="14"/>
                <w:szCs w:val="14"/>
                <w:color w:val="auto"/>
              </w:rPr>
            </w:pPr>
          </w:p>
        </w:tc>
        <w:tc>
          <w:tcPr>
            <w:tcW w:w="61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(ii) increases in Medline Inc.’s allocable share of existing tax basis and tax basis</w:t>
            </w:r>
          </w:p>
        </w:tc>
      </w:tr>
      <w:tr>
        <w:trPr>
          <w:trHeight w:val="166"/>
        </w:trPr>
        <w:tc>
          <w:tcPr>
            <w:tcW w:w="2400" w:type="dxa"/>
            <w:vAlign w:val="bottom"/>
            <w:tcBorders>
              <w:left w:val="single" w:sz="8" w:color="auto"/>
            </w:tcBorders>
          </w:tcPr>
          <w:p>
            <w:pPr>
              <w:spacing w:after="0"/>
              <w:rPr>
                <w:sz w:val="14"/>
                <w:szCs w:val="14"/>
                <w:color w:val="auto"/>
              </w:rPr>
            </w:pPr>
          </w:p>
        </w:tc>
        <w:tc>
          <w:tcPr>
            <w:tcW w:w="61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adjustments to the tangible and intangible assets of Medline Holdings as a result of sales or</w:t>
            </w:r>
          </w:p>
        </w:tc>
      </w:tr>
      <w:tr>
        <w:trPr>
          <w:trHeight w:val="166"/>
        </w:trPr>
        <w:tc>
          <w:tcPr>
            <w:tcW w:w="2400" w:type="dxa"/>
            <w:vAlign w:val="bottom"/>
            <w:tcBorders>
              <w:left w:val="single" w:sz="8" w:color="auto"/>
            </w:tcBorders>
          </w:tcPr>
          <w:p>
            <w:pPr>
              <w:spacing w:after="0"/>
              <w:rPr>
                <w:sz w:val="14"/>
                <w:szCs w:val="14"/>
                <w:color w:val="auto"/>
              </w:rPr>
            </w:pPr>
          </w:p>
        </w:tc>
        <w:tc>
          <w:tcPr>
            <w:tcW w:w="61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exchanges of Common Units (including Common Units issued upon conversion of vested</w:t>
            </w:r>
          </w:p>
        </w:tc>
      </w:tr>
      <w:tr>
        <w:trPr>
          <w:trHeight w:val="166"/>
        </w:trPr>
        <w:tc>
          <w:tcPr>
            <w:tcW w:w="2400" w:type="dxa"/>
            <w:vAlign w:val="bottom"/>
            <w:tcBorders>
              <w:left w:val="single" w:sz="8" w:color="auto"/>
            </w:tcBorders>
          </w:tcPr>
          <w:p>
            <w:pPr>
              <w:spacing w:after="0"/>
              <w:rPr>
                <w:sz w:val="14"/>
                <w:szCs w:val="14"/>
                <w:color w:val="auto"/>
              </w:rPr>
            </w:pPr>
          </w:p>
        </w:tc>
        <w:tc>
          <w:tcPr>
            <w:tcW w:w="61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Incentive Units) in connection with or after our IPO, including the exchange of Common</w:t>
            </w:r>
          </w:p>
        </w:tc>
      </w:tr>
      <w:tr>
        <w:trPr>
          <w:trHeight w:val="166"/>
        </w:trPr>
        <w:tc>
          <w:tcPr>
            <w:tcW w:w="2400" w:type="dxa"/>
            <w:vAlign w:val="bottom"/>
            <w:tcBorders>
              <w:left w:val="single" w:sz="8" w:color="auto"/>
            </w:tcBorders>
          </w:tcPr>
          <w:p>
            <w:pPr>
              <w:spacing w:after="0"/>
              <w:rPr>
                <w:sz w:val="14"/>
                <w:szCs w:val="14"/>
                <w:color w:val="auto"/>
              </w:rPr>
            </w:pPr>
          </w:p>
        </w:tc>
        <w:tc>
          <w:tcPr>
            <w:tcW w:w="61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Units for shares of our Class A common stock by the selling stockholders in connection</w:t>
            </w:r>
          </w:p>
        </w:tc>
      </w:tr>
      <w:tr>
        <w:trPr>
          <w:trHeight w:val="166"/>
        </w:trPr>
        <w:tc>
          <w:tcPr>
            <w:tcW w:w="2400" w:type="dxa"/>
            <w:vAlign w:val="bottom"/>
            <w:tcBorders>
              <w:left w:val="single" w:sz="8" w:color="auto"/>
            </w:tcBorders>
          </w:tcPr>
          <w:p>
            <w:pPr>
              <w:spacing w:after="0"/>
              <w:rPr>
                <w:sz w:val="14"/>
                <w:szCs w:val="14"/>
                <w:color w:val="auto"/>
              </w:rPr>
            </w:pPr>
          </w:p>
        </w:tc>
        <w:tc>
          <w:tcPr>
            <w:tcW w:w="61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with this offering, (iii) Medline Inc.’s utilization of certain tax attributes (including any</w:t>
            </w:r>
          </w:p>
        </w:tc>
      </w:tr>
      <w:tr>
        <w:trPr>
          <w:trHeight w:val="166"/>
        </w:trPr>
        <w:tc>
          <w:tcPr>
            <w:tcW w:w="2400" w:type="dxa"/>
            <w:vAlign w:val="bottom"/>
            <w:tcBorders>
              <w:left w:val="single" w:sz="8" w:color="auto"/>
            </w:tcBorders>
          </w:tcPr>
          <w:p>
            <w:pPr>
              <w:spacing w:after="0"/>
              <w:rPr>
                <w:sz w:val="14"/>
                <w:szCs w:val="14"/>
                <w:color w:val="auto"/>
              </w:rPr>
            </w:pPr>
          </w:p>
        </w:tc>
        <w:tc>
          <w:tcPr>
            <w:tcW w:w="61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existing tax basis) of the Blocker Companies, which Medline Inc. acquired in connection</w:t>
            </w:r>
          </w:p>
        </w:tc>
      </w:tr>
      <w:tr>
        <w:trPr>
          <w:trHeight w:val="166"/>
        </w:trPr>
        <w:tc>
          <w:tcPr>
            <w:tcW w:w="2400" w:type="dxa"/>
            <w:vAlign w:val="bottom"/>
            <w:tcBorders>
              <w:left w:val="single" w:sz="8" w:color="auto"/>
            </w:tcBorders>
          </w:tcPr>
          <w:p>
            <w:pPr>
              <w:spacing w:after="0"/>
              <w:rPr>
                <w:sz w:val="14"/>
                <w:szCs w:val="14"/>
                <w:color w:val="auto"/>
              </w:rPr>
            </w:pPr>
          </w:p>
        </w:tc>
        <w:tc>
          <w:tcPr>
            <w:tcW w:w="61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with our IPO as described under “Organizational Structure—Blocker Transfers,” and</w:t>
            </w:r>
          </w:p>
        </w:tc>
      </w:tr>
      <w:tr>
        <w:trPr>
          <w:trHeight w:val="166"/>
        </w:trPr>
        <w:tc>
          <w:tcPr>
            <w:tcW w:w="2400" w:type="dxa"/>
            <w:vAlign w:val="bottom"/>
            <w:tcBorders>
              <w:left w:val="single" w:sz="8" w:color="auto"/>
            </w:tcBorders>
          </w:tcPr>
          <w:p>
            <w:pPr>
              <w:spacing w:after="0"/>
              <w:rPr>
                <w:sz w:val="14"/>
                <w:szCs w:val="14"/>
                <w:color w:val="auto"/>
              </w:rPr>
            </w:pPr>
          </w:p>
        </w:tc>
        <w:tc>
          <w:tcPr>
            <w:tcW w:w="61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(iv) certain other tax benefits related to entering into the tax receivable agreement,</w:t>
            </w:r>
          </w:p>
        </w:tc>
      </w:tr>
      <w:tr>
        <w:trPr>
          <w:trHeight w:val="166"/>
        </w:trPr>
        <w:tc>
          <w:tcPr>
            <w:tcW w:w="2400" w:type="dxa"/>
            <w:vAlign w:val="bottom"/>
            <w:tcBorders>
              <w:left w:val="single" w:sz="8" w:color="auto"/>
            </w:tcBorders>
          </w:tcPr>
          <w:p>
            <w:pPr>
              <w:spacing w:after="0"/>
              <w:rPr>
                <w:sz w:val="14"/>
                <w:szCs w:val="14"/>
                <w:color w:val="auto"/>
              </w:rPr>
            </w:pPr>
          </w:p>
        </w:tc>
        <w:tc>
          <w:tcPr>
            <w:tcW w:w="61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including tax benefits attributable to payments under the tax receivable agreement. Sales or</w:t>
            </w:r>
          </w:p>
        </w:tc>
      </w:tr>
      <w:tr>
        <w:trPr>
          <w:trHeight w:val="166"/>
        </w:trPr>
        <w:tc>
          <w:tcPr>
            <w:tcW w:w="2400" w:type="dxa"/>
            <w:vAlign w:val="bottom"/>
            <w:tcBorders>
              <w:left w:val="single" w:sz="8" w:color="auto"/>
            </w:tcBorders>
          </w:tcPr>
          <w:p>
            <w:pPr>
              <w:spacing w:after="0"/>
              <w:rPr>
                <w:sz w:val="14"/>
                <w:szCs w:val="14"/>
                <w:color w:val="auto"/>
              </w:rPr>
            </w:pPr>
          </w:p>
        </w:tc>
        <w:tc>
          <w:tcPr>
            <w:tcW w:w="61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exchanges of Common Units (including Common Units issued upon conversion of vested</w:t>
            </w:r>
          </w:p>
        </w:tc>
      </w:tr>
      <w:tr>
        <w:trPr>
          <w:trHeight w:val="166"/>
        </w:trPr>
        <w:tc>
          <w:tcPr>
            <w:tcW w:w="2400" w:type="dxa"/>
            <w:vAlign w:val="bottom"/>
            <w:tcBorders>
              <w:left w:val="single" w:sz="8" w:color="auto"/>
            </w:tcBorders>
          </w:tcPr>
          <w:p>
            <w:pPr>
              <w:spacing w:after="0"/>
              <w:rPr>
                <w:sz w:val="14"/>
                <w:szCs w:val="14"/>
                <w:color w:val="auto"/>
              </w:rPr>
            </w:pPr>
          </w:p>
        </w:tc>
        <w:tc>
          <w:tcPr>
            <w:tcW w:w="61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Incentive Units) are expected to result in increases in the tax basis of the assets of Medline</w:t>
            </w:r>
          </w:p>
        </w:tc>
      </w:tr>
      <w:tr>
        <w:trPr>
          <w:trHeight w:val="166"/>
        </w:trPr>
        <w:tc>
          <w:tcPr>
            <w:tcW w:w="2400" w:type="dxa"/>
            <w:vAlign w:val="bottom"/>
            <w:tcBorders>
              <w:left w:val="single" w:sz="8" w:color="auto"/>
            </w:tcBorders>
          </w:tcPr>
          <w:p>
            <w:pPr>
              <w:spacing w:after="0"/>
              <w:rPr>
                <w:sz w:val="14"/>
                <w:szCs w:val="14"/>
                <w:color w:val="auto"/>
              </w:rPr>
            </w:pPr>
          </w:p>
        </w:tc>
        <w:tc>
          <w:tcPr>
            <w:tcW w:w="61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Holdings. The existing tax basis, increases in existing tax basis and tax basis adjustments</w:t>
            </w:r>
          </w:p>
        </w:tc>
      </w:tr>
      <w:tr>
        <w:trPr>
          <w:trHeight w:val="166"/>
        </w:trPr>
        <w:tc>
          <w:tcPr>
            <w:tcW w:w="2400" w:type="dxa"/>
            <w:vAlign w:val="bottom"/>
            <w:tcBorders>
              <w:left w:val="single" w:sz="8" w:color="auto"/>
            </w:tcBorders>
          </w:tcPr>
          <w:p>
            <w:pPr>
              <w:spacing w:after="0"/>
              <w:rPr>
                <w:sz w:val="14"/>
                <w:szCs w:val="14"/>
                <w:color w:val="auto"/>
              </w:rPr>
            </w:pPr>
          </w:p>
        </w:tc>
        <w:tc>
          <w:tcPr>
            <w:tcW w:w="61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generated over time may increase (for tax purposes) depreciation and amortization</w:t>
            </w:r>
          </w:p>
        </w:tc>
      </w:tr>
      <w:tr>
        <w:trPr>
          <w:trHeight w:val="166"/>
        </w:trPr>
        <w:tc>
          <w:tcPr>
            <w:tcW w:w="2400" w:type="dxa"/>
            <w:vAlign w:val="bottom"/>
            <w:tcBorders>
              <w:left w:val="single" w:sz="8" w:color="auto"/>
            </w:tcBorders>
          </w:tcPr>
          <w:p>
            <w:pPr>
              <w:spacing w:after="0"/>
              <w:rPr>
                <w:sz w:val="14"/>
                <w:szCs w:val="14"/>
                <w:color w:val="auto"/>
              </w:rPr>
            </w:pPr>
          </w:p>
        </w:tc>
        <w:tc>
          <w:tcPr>
            <w:tcW w:w="61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deductions available to Medline Inc. for tax purposes and, therefore, may reduce the</w:t>
            </w:r>
          </w:p>
        </w:tc>
      </w:tr>
      <w:tr>
        <w:trPr>
          <w:trHeight w:val="166"/>
        </w:trPr>
        <w:tc>
          <w:tcPr>
            <w:tcW w:w="2400" w:type="dxa"/>
            <w:vAlign w:val="bottom"/>
            <w:tcBorders>
              <w:left w:val="single" w:sz="8" w:color="auto"/>
            </w:tcBorders>
          </w:tcPr>
          <w:p>
            <w:pPr>
              <w:spacing w:after="0"/>
              <w:rPr>
                <w:sz w:val="14"/>
                <w:szCs w:val="14"/>
                <w:color w:val="auto"/>
              </w:rPr>
            </w:pPr>
          </w:p>
        </w:tc>
        <w:tc>
          <w:tcPr>
            <w:tcW w:w="61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amount of U.S. federal, state and local tax that Medline Inc. would otherwise be required to</w:t>
            </w:r>
          </w:p>
        </w:tc>
      </w:tr>
      <w:tr>
        <w:trPr>
          <w:trHeight w:val="166"/>
        </w:trPr>
        <w:tc>
          <w:tcPr>
            <w:tcW w:w="2400" w:type="dxa"/>
            <w:vAlign w:val="bottom"/>
            <w:tcBorders>
              <w:left w:val="single" w:sz="8" w:color="auto"/>
            </w:tcBorders>
          </w:tcPr>
          <w:p>
            <w:pPr>
              <w:spacing w:after="0"/>
              <w:rPr>
                <w:sz w:val="14"/>
                <w:szCs w:val="14"/>
                <w:color w:val="auto"/>
              </w:rPr>
            </w:pPr>
          </w:p>
        </w:tc>
        <w:tc>
          <w:tcPr>
            <w:tcW w:w="61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pay in the future. Actual tax benefits realized by Medline Inc. may differ from tax benefits</w:t>
            </w:r>
          </w:p>
        </w:tc>
      </w:tr>
      <w:tr>
        <w:trPr>
          <w:trHeight w:val="166"/>
        </w:trPr>
        <w:tc>
          <w:tcPr>
            <w:tcW w:w="2400" w:type="dxa"/>
            <w:vAlign w:val="bottom"/>
            <w:tcBorders>
              <w:left w:val="single" w:sz="8" w:color="auto"/>
            </w:tcBorders>
          </w:tcPr>
          <w:p>
            <w:pPr>
              <w:spacing w:after="0"/>
              <w:rPr>
                <w:sz w:val="14"/>
                <w:szCs w:val="14"/>
                <w:color w:val="auto"/>
              </w:rPr>
            </w:pPr>
          </w:p>
        </w:tc>
        <w:tc>
          <w:tcPr>
            <w:tcW w:w="61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calculated under the tax receivable agreement as a result of the use of certain assumptions</w:t>
            </w:r>
          </w:p>
        </w:tc>
      </w:tr>
      <w:tr>
        <w:trPr>
          <w:trHeight w:val="166"/>
        </w:trPr>
        <w:tc>
          <w:tcPr>
            <w:tcW w:w="2400" w:type="dxa"/>
            <w:vAlign w:val="bottom"/>
            <w:tcBorders>
              <w:left w:val="single" w:sz="8" w:color="auto"/>
            </w:tcBorders>
          </w:tcPr>
          <w:p>
            <w:pPr>
              <w:spacing w:after="0"/>
              <w:rPr>
                <w:sz w:val="14"/>
                <w:szCs w:val="14"/>
                <w:color w:val="auto"/>
              </w:rPr>
            </w:pPr>
          </w:p>
        </w:tc>
        <w:tc>
          <w:tcPr>
            <w:tcW w:w="61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in the tax receivable agreement, including the use of an assumed blended state and local</w:t>
            </w:r>
          </w:p>
        </w:tc>
      </w:tr>
      <w:tr>
        <w:trPr>
          <w:trHeight w:val="166"/>
        </w:trPr>
        <w:tc>
          <w:tcPr>
            <w:tcW w:w="2400" w:type="dxa"/>
            <w:vAlign w:val="bottom"/>
            <w:tcBorders>
              <w:left w:val="single" w:sz="8" w:color="auto"/>
            </w:tcBorders>
          </w:tcPr>
          <w:p>
            <w:pPr>
              <w:spacing w:after="0"/>
              <w:rPr>
                <w:sz w:val="14"/>
                <w:szCs w:val="14"/>
                <w:color w:val="auto"/>
              </w:rPr>
            </w:pPr>
          </w:p>
        </w:tc>
        <w:tc>
          <w:tcPr>
            <w:tcW w:w="61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income tax rate of 6% (as adjusted to take into account the U.S. federal tax benefit of such</w:t>
            </w:r>
          </w:p>
        </w:tc>
      </w:tr>
      <w:tr>
        <w:trPr>
          <w:trHeight w:val="166"/>
        </w:trPr>
        <w:tc>
          <w:tcPr>
            <w:tcW w:w="2400" w:type="dxa"/>
            <w:vAlign w:val="bottom"/>
            <w:tcBorders>
              <w:left w:val="single" w:sz="8" w:color="auto"/>
            </w:tcBorders>
          </w:tcPr>
          <w:p>
            <w:pPr>
              <w:spacing w:after="0"/>
              <w:rPr>
                <w:sz w:val="14"/>
                <w:szCs w:val="14"/>
                <w:color w:val="auto"/>
              </w:rPr>
            </w:pPr>
          </w:p>
        </w:tc>
        <w:tc>
          <w:tcPr>
            <w:tcW w:w="61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taxes) to calculate tax benefits. This payment obligation is an obligation of Medline Inc.</w:t>
            </w:r>
          </w:p>
        </w:tc>
      </w:tr>
      <w:tr>
        <w:trPr>
          <w:trHeight w:val="166"/>
        </w:trPr>
        <w:tc>
          <w:tcPr>
            <w:tcW w:w="2400" w:type="dxa"/>
            <w:vAlign w:val="bottom"/>
            <w:tcBorders>
              <w:left w:val="single" w:sz="8" w:color="auto"/>
            </w:tcBorders>
          </w:tcPr>
          <w:p>
            <w:pPr>
              <w:spacing w:after="0"/>
              <w:rPr>
                <w:sz w:val="14"/>
                <w:szCs w:val="14"/>
                <w:color w:val="auto"/>
              </w:rPr>
            </w:pPr>
          </w:p>
        </w:tc>
        <w:tc>
          <w:tcPr>
            <w:tcW w:w="61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and not of Medline Holdings. See “Part III—Item 13—Certain Relationships and Related</w:t>
            </w:r>
          </w:p>
        </w:tc>
      </w:tr>
      <w:tr>
        <w:trPr>
          <w:trHeight w:val="166"/>
        </w:trPr>
        <w:tc>
          <w:tcPr>
            <w:tcW w:w="2400" w:type="dxa"/>
            <w:vAlign w:val="bottom"/>
            <w:tcBorders>
              <w:left w:val="single" w:sz="8" w:color="auto"/>
            </w:tcBorders>
          </w:tcPr>
          <w:p>
            <w:pPr>
              <w:spacing w:after="0"/>
              <w:rPr>
                <w:sz w:val="14"/>
                <w:szCs w:val="14"/>
                <w:color w:val="auto"/>
              </w:rPr>
            </w:pPr>
          </w:p>
        </w:tc>
        <w:tc>
          <w:tcPr>
            <w:tcW w:w="61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Transactions, and Director Independence” in our 2025 Form 10-K incorporated by</w:t>
            </w:r>
          </w:p>
        </w:tc>
      </w:tr>
      <w:tr>
        <w:trPr>
          <w:trHeight w:val="181"/>
        </w:trPr>
        <w:tc>
          <w:tcPr>
            <w:tcW w:w="2400" w:type="dxa"/>
            <w:vAlign w:val="bottom"/>
            <w:tcBorders>
              <w:left w:val="single" w:sz="8" w:color="auto"/>
            </w:tcBorders>
          </w:tcPr>
          <w:p>
            <w:pPr>
              <w:spacing w:after="0"/>
              <w:rPr>
                <w:sz w:val="15"/>
                <w:szCs w:val="15"/>
                <w:color w:val="auto"/>
              </w:rPr>
            </w:pPr>
          </w:p>
        </w:tc>
        <w:tc>
          <w:tcPr>
            <w:tcW w:w="61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reference in this prospectus.</w:t>
            </w:r>
          </w:p>
        </w:tc>
      </w:tr>
      <w:tr>
        <w:trPr>
          <w:trHeight w:val="338"/>
        </w:trPr>
        <w:tc>
          <w:tcPr>
            <w:tcW w:w="24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IPO lock-up release</w:t>
            </w:r>
          </w:p>
        </w:tc>
        <w:tc>
          <w:tcPr>
            <w:tcW w:w="61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In connection with this offering, Goldman Sachs &amp; Co. LLC and Morgan Stanley &amp; Co.</w:t>
            </w:r>
          </w:p>
        </w:tc>
      </w:tr>
      <w:tr>
        <w:trPr>
          <w:trHeight w:val="166"/>
        </w:trPr>
        <w:tc>
          <w:tcPr>
            <w:tcW w:w="2400" w:type="dxa"/>
            <w:vAlign w:val="bottom"/>
            <w:tcBorders>
              <w:left w:val="single" w:sz="8" w:color="auto"/>
            </w:tcBorders>
          </w:tcPr>
          <w:p>
            <w:pPr>
              <w:spacing w:after="0"/>
              <w:rPr>
                <w:sz w:val="14"/>
                <w:szCs w:val="14"/>
                <w:color w:val="auto"/>
              </w:rPr>
            </w:pPr>
          </w:p>
        </w:tc>
        <w:tc>
          <w:tcPr>
            <w:tcW w:w="61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LLC, as representatives of the several underwriters in the IPO, have agreed to release, with</w:t>
            </w:r>
          </w:p>
        </w:tc>
      </w:tr>
      <w:tr>
        <w:trPr>
          <w:trHeight w:val="166"/>
        </w:trPr>
        <w:tc>
          <w:tcPr>
            <w:tcW w:w="2400" w:type="dxa"/>
            <w:vAlign w:val="bottom"/>
            <w:tcBorders>
              <w:left w:val="single" w:sz="8" w:color="auto"/>
            </w:tcBorders>
          </w:tcPr>
          <w:p>
            <w:pPr>
              <w:spacing w:after="0"/>
              <w:rPr>
                <w:sz w:val="14"/>
                <w:szCs w:val="14"/>
                <w:color w:val="auto"/>
              </w:rPr>
            </w:pPr>
          </w:p>
        </w:tc>
        <w:tc>
          <w:tcPr>
            <w:tcW w:w="61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respect to this offering, the lock-up restrictions applicable to the Company and the selling</w:t>
            </w:r>
          </w:p>
        </w:tc>
      </w:tr>
      <w:tr>
        <w:trPr>
          <w:trHeight w:val="166"/>
        </w:trPr>
        <w:tc>
          <w:tcPr>
            <w:tcW w:w="2400" w:type="dxa"/>
            <w:vAlign w:val="bottom"/>
            <w:tcBorders>
              <w:left w:val="single" w:sz="8" w:color="auto"/>
            </w:tcBorders>
          </w:tcPr>
          <w:p>
            <w:pPr>
              <w:spacing w:after="0"/>
              <w:rPr>
                <w:sz w:val="14"/>
                <w:szCs w:val="14"/>
                <w:color w:val="auto"/>
              </w:rPr>
            </w:pPr>
          </w:p>
        </w:tc>
        <w:tc>
          <w:tcPr>
            <w:tcW w:w="61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stockholders pursuant to agreements entered into in connection with the IPO. See</w:t>
            </w:r>
          </w:p>
        </w:tc>
      </w:tr>
      <w:tr>
        <w:trPr>
          <w:trHeight w:val="181"/>
        </w:trPr>
        <w:tc>
          <w:tcPr>
            <w:tcW w:w="2400" w:type="dxa"/>
            <w:vAlign w:val="bottom"/>
            <w:tcBorders>
              <w:left w:val="single" w:sz="8" w:color="auto"/>
            </w:tcBorders>
          </w:tcPr>
          <w:p>
            <w:pPr>
              <w:spacing w:after="0"/>
              <w:rPr>
                <w:sz w:val="15"/>
                <w:szCs w:val="15"/>
                <w:color w:val="auto"/>
              </w:rPr>
            </w:pPr>
          </w:p>
        </w:tc>
        <w:tc>
          <w:tcPr>
            <w:tcW w:w="61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“Underwriting (Conflicts of Interest).”</w:t>
            </w:r>
          </w:p>
        </w:tc>
      </w:tr>
      <w:tr>
        <w:trPr>
          <w:trHeight w:val="338"/>
        </w:trPr>
        <w:tc>
          <w:tcPr>
            <w:tcW w:w="24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Risk factors</w:t>
            </w:r>
          </w:p>
        </w:tc>
        <w:tc>
          <w:tcPr>
            <w:tcW w:w="61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See “Risk Factors” herein and in our 2025 Form 10-K, which is incorporated by reference</w:t>
            </w:r>
          </w:p>
        </w:tc>
      </w:tr>
      <w:tr>
        <w:trPr>
          <w:trHeight w:val="166"/>
        </w:trPr>
        <w:tc>
          <w:tcPr>
            <w:tcW w:w="2400" w:type="dxa"/>
            <w:vAlign w:val="bottom"/>
            <w:tcBorders>
              <w:left w:val="single" w:sz="8" w:color="auto"/>
            </w:tcBorders>
          </w:tcPr>
          <w:p>
            <w:pPr>
              <w:spacing w:after="0"/>
              <w:rPr>
                <w:sz w:val="14"/>
                <w:szCs w:val="14"/>
                <w:color w:val="auto"/>
              </w:rPr>
            </w:pPr>
          </w:p>
        </w:tc>
        <w:tc>
          <w:tcPr>
            <w:tcW w:w="61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in this prospectus, for a discussion of risks you should carefully consider before deciding to</w:t>
            </w:r>
          </w:p>
        </w:tc>
      </w:tr>
      <w:tr>
        <w:trPr>
          <w:trHeight w:val="181"/>
        </w:trPr>
        <w:tc>
          <w:tcPr>
            <w:tcW w:w="2400" w:type="dxa"/>
            <w:vAlign w:val="bottom"/>
            <w:tcBorders>
              <w:left w:val="single" w:sz="8" w:color="auto"/>
            </w:tcBorders>
          </w:tcPr>
          <w:p>
            <w:pPr>
              <w:spacing w:after="0"/>
              <w:rPr>
                <w:sz w:val="15"/>
                <w:szCs w:val="15"/>
                <w:color w:val="auto"/>
              </w:rPr>
            </w:pPr>
          </w:p>
        </w:tc>
        <w:tc>
          <w:tcPr>
            <w:tcW w:w="61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invest in our Class A common stock.</w:t>
            </w:r>
          </w:p>
        </w:tc>
      </w:tr>
      <w:tr>
        <w:trPr>
          <w:trHeight w:val="130"/>
        </w:trPr>
        <w:tc>
          <w:tcPr>
            <w:tcW w:w="2400" w:type="dxa"/>
            <w:vAlign w:val="bottom"/>
            <w:tcBorders>
              <w:left w:val="single" w:sz="8" w:color="auto"/>
              <w:bottom w:val="single" w:sz="8" w:color="auto"/>
            </w:tcBorders>
          </w:tcPr>
          <w:p>
            <w:pPr>
              <w:spacing w:after="0"/>
              <w:rPr>
                <w:sz w:val="11"/>
                <w:szCs w:val="11"/>
                <w:color w:val="auto"/>
              </w:rPr>
            </w:pPr>
          </w:p>
        </w:tc>
        <w:tc>
          <w:tcPr>
            <w:tcW w:w="6100" w:type="dxa"/>
            <w:vAlign w:val="bottom"/>
            <w:tcBorders>
              <w:bottom w:val="single" w:sz="8" w:color="auto"/>
              <w:right w:val="single" w:sz="8" w:color="auto"/>
            </w:tcBorders>
          </w:tcPr>
          <w:p>
            <w:pPr>
              <w:spacing w:after="0"/>
              <w:rPr>
                <w:sz w:val="11"/>
                <w:szCs w:val="11"/>
                <w:color w:val="auto"/>
              </w:rPr>
            </w:pPr>
          </w:p>
        </w:tc>
      </w:tr>
      <w:tr>
        <w:trPr>
          <w:trHeight w:val="276"/>
        </w:trPr>
        <w:tc>
          <w:tcPr>
            <w:tcW w:w="2400" w:type="dxa"/>
            <w:vAlign w:val="bottom"/>
          </w:tcPr>
          <w:p>
            <w:pPr>
              <w:spacing w:after="0"/>
              <w:rPr>
                <w:sz w:val="24"/>
                <w:szCs w:val="24"/>
                <w:color w:val="auto"/>
              </w:rPr>
            </w:pPr>
          </w:p>
        </w:tc>
        <w:tc>
          <w:tcPr>
            <w:tcW w:w="6100" w:type="dxa"/>
            <w:vAlign w:val="bottom"/>
          </w:tcPr>
          <w:p>
            <w:pPr>
              <w:ind w:left="1780"/>
              <w:spacing w:after="0"/>
              <w:rPr>
                <w:sz w:val="20"/>
                <w:szCs w:val="20"/>
                <w:color w:val="auto"/>
              </w:rPr>
            </w:pPr>
            <w:r>
              <w:rPr>
                <w:rFonts w:ascii="Times New Roman" w:cs="Times New Roman" w:eastAsia="Times New Roman" w:hAnsi="Times New Roman"/>
                <w:sz w:val="14"/>
                <w:szCs w:val="14"/>
                <w:color w:val="auto"/>
              </w:rPr>
              <w:t>22</w:t>
            </w:r>
          </w:p>
        </w:tc>
      </w:tr>
    </w:tbl>
    <w:p>
      <w:pPr>
        <w:sectPr>
          <w:pgSz w:w="11900" w:h="16838" w:orient="portrait"/>
          <w:cols w:equalWidth="0" w:num="1">
            <w:col w:w="10159"/>
          </w:cols>
          <w:pgMar w:left="300" w:top="383"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170180</wp:posOffset>
            </wp:positionV>
            <wp:extent cx="5393690" cy="27197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393690" cy="2719705"/>
                    </a:xfrm>
                    <a:prstGeom prst="rect">
                      <a:avLst/>
                    </a:prstGeom>
                    <a:noFill/>
                  </pic:spPr>
                </pic:pic>
              </a:graphicData>
            </a:graphic>
          </wp:anchor>
        </w:drawing>
      </w:r>
    </w:p>
    <w:p>
      <w:pPr>
        <w:sectPr>
          <w:pgSz w:w="11900" w:h="16838" w:orient="portrait"/>
          <w:cols w:equalWidth="0" w:num="1">
            <w:col w:w="10159"/>
          </w:cols>
          <w:pgMar w:left="300" w:top="383" w:right="1440" w:bottom="1440" w:gutter="0" w:footer="0" w:header="0"/>
        </w:sectPr>
      </w:pPr>
    </w:p>
    <w:p>
      <w:pPr>
        <w:spacing w:after="0" w:line="393" w:lineRule="exact"/>
        <w:rPr>
          <w:sz w:val="20"/>
          <w:szCs w:val="20"/>
          <w:color w:val="auto"/>
        </w:rPr>
      </w:pPr>
    </w:p>
    <w:p>
      <w:pPr>
        <w:ind w:left="1600" w:hanging="60"/>
        <w:spacing w:after="0" w:line="278" w:lineRule="auto"/>
        <w:rPr>
          <w:sz w:val="20"/>
          <w:szCs w:val="20"/>
          <w:color w:val="auto"/>
        </w:rPr>
      </w:pPr>
      <w:r>
        <w:rPr>
          <w:rFonts w:ascii="Times New Roman" w:cs="Times New Roman" w:eastAsia="Times New Roman" w:hAnsi="Times New Roman"/>
          <w:sz w:val="14"/>
          <w:szCs w:val="14"/>
          <w:color w:val="auto"/>
        </w:rPr>
        <w:t>Certain U.S. federal income tax consequences to non-U.S. holders</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jc w:val="both"/>
        <w:ind w:right="559"/>
        <w:spacing w:after="0" w:line="263" w:lineRule="auto"/>
        <w:rPr>
          <w:sz w:val="20"/>
          <w:szCs w:val="20"/>
          <w:color w:val="auto"/>
        </w:rPr>
      </w:pPr>
      <w:r>
        <w:rPr>
          <w:rFonts w:ascii="Times New Roman" w:cs="Times New Roman" w:eastAsia="Times New Roman" w:hAnsi="Times New Roman"/>
          <w:sz w:val="14"/>
          <w:szCs w:val="14"/>
          <w:color w:val="auto"/>
        </w:rPr>
        <w:t>For a discussion of certain U.S. federal income tax consequences that may be relevant to non-U.S. stockholders, see “Certain U.S. Federal Income Tax Consequences to Non-U.S. Holders.”</w:t>
      </w:r>
    </w:p>
    <w:p>
      <w:pPr>
        <w:spacing w:after="0" w:line="157" w:lineRule="exact"/>
        <w:rPr>
          <w:sz w:val="20"/>
          <w:szCs w:val="20"/>
          <w:color w:val="auto"/>
        </w:rPr>
      </w:pPr>
    </w:p>
    <w:p>
      <w:pPr>
        <w:sectPr>
          <w:pgSz w:w="11900" w:h="16838" w:orient="portrait"/>
          <w:cols w:equalWidth="0" w:num="2">
            <w:col w:w="4240" w:space="420"/>
            <w:col w:w="5499"/>
          </w:cols>
          <w:pgMar w:left="300" w:top="383" w:right="1440" w:bottom="1440" w:gutter="0" w:footer="0" w:header="0"/>
          <w:type w:val="continuous"/>
        </w:sectPr>
      </w:pPr>
    </w:p>
    <w:p>
      <w:pPr>
        <w:ind w:left="1540"/>
        <w:spacing w:after="0"/>
        <w:rPr>
          <w:sz w:val="20"/>
          <w:szCs w:val="20"/>
          <w:color w:val="auto"/>
        </w:rPr>
      </w:pPr>
      <w:r>
        <w:rPr>
          <w:rFonts w:ascii="Times New Roman" w:cs="Times New Roman" w:eastAsia="Times New Roman" w:hAnsi="Times New Roman"/>
          <w:sz w:val="13"/>
          <w:szCs w:val="13"/>
          <w:color w:val="auto"/>
        </w:rPr>
        <w:t>Nasdaq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“MDLN”</w:t>
      </w:r>
    </w:p>
    <w:p>
      <w:pPr>
        <w:spacing w:after="0" w:line="194" w:lineRule="exact"/>
        <w:rPr>
          <w:sz w:val="20"/>
          <w:szCs w:val="20"/>
          <w:color w:val="auto"/>
        </w:rPr>
      </w:pPr>
    </w:p>
    <w:p>
      <w:pPr>
        <w:sectPr>
          <w:pgSz w:w="11900" w:h="16838" w:orient="portrait"/>
          <w:cols w:equalWidth="0" w:num="2">
            <w:col w:w="3940" w:space="720"/>
            <w:col w:w="5499"/>
          </w:cols>
          <w:pgMar w:left="300" w:top="383" w:right="1440" w:bottom="1440" w:gutter="0" w:footer="0" w:header="0"/>
          <w:type w:val="continuous"/>
        </w:sectPr>
      </w:pPr>
    </w:p>
    <w:p>
      <w:pPr>
        <w:ind w:left="1540" w:right="619" w:firstLine="328"/>
        <w:spacing w:after="0" w:line="278" w:lineRule="auto"/>
        <w:rPr>
          <w:sz w:val="20"/>
          <w:szCs w:val="20"/>
          <w:color w:val="auto"/>
        </w:rPr>
      </w:pPr>
      <w:r>
        <w:rPr>
          <w:rFonts w:ascii="Times New Roman" w:cs="Times New Roman" w:eastAsia="Times New Roman" w:hAnsi="Times New Roman"/>
          <w:sz w:val="14"/>
          <w:szCs w:val="14"/>
          <w:color w:val="auto"/>
        </w:rPr>
        <w:t>In this prospectus, unless otherwise indicated, the number of shares of Class A common stock outstanding and the other information based thereon is based on 845,606,187 shares of Class A common stock outstanding as of May 4, 2026, and does not reflect:</w:t>
      </w:r>
    </w:p>
    <w:p>
      <w:pPr>
        <w:spacing w:after="0" w:line="53" w:lineRule="exact"/>
        <w:rPr>
          <w:sz w:val="20"/>
          <w:szCs w:val="20"/>
          <w:color w:val="auto"/>
        </w:rPr>
      </w:pPr>
    </w:p>
    <w:p>
      <w:pPr>
        <w:ind w:left="2260" w:right="519" w:hanging="312"/>
        <w:spacing w:after="0" w:line="278" w:lineRule="auto"/>
        <w:tabs>
          <w:tab w:leader="none" w:pos="22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3,546,313 shares of Class A common stock issuable upon exchange of Common Units held by the selling stockholders upon exercise of the underwriters’ option to purchase additional shares of Class A common stock;</w:t>
      </w:r>
    </w:p>
    <w:p>
      <w:pPr>
        <w:spacing w:after="0" w:line="53" w:lineRule="exact"/>
        <w:rPr>
          <w:rFonts w:ascii="Times New Roman" w:cs="Times New Roman" w:eastAsia="Times New Roman" w:hAnsi="Times New Roman"/>
          <w:sz w:val="14"/>
          <w:szCs w:val="14"/>
          <w:color w:val="auto"/>
        </w:rPr>
      </w:pPr>
    </w:p>
    <w:p>
      <w:pPr>
        <w:ind w:left="2260" w:right="479" w:hanging="312"/>
        <w:spacing w:after="0" w:line="258" w:lineRule="auto"/>
        <w:tabs>
          <w:tab w:leader="none" w:pos="22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444,439,890 shares of Class A common stock issuable upon exchange of 444,439,890 Common Units (or, if the underwriters exercise their option to purchase additional shares of Class A common stock, 440,893,577 shares of Class A common stock issuable upon exchange of 440,893,577 Common Units) that will be held by the Continuing Common Unitholders immediately following this offering;</w:t>
      </w:r>
    </w:p>
    <w:p>
      <w:pPr>
        <w:spacing w:after="0" w:line="66" w:lineRule="exact"/>
        <w:rPr>
          <w:rFonts w:ascii="Times New Roman" w:cs="Times New Roman" w:eastAsia="Times New Roman" w:hAnsi="Times New Roman"/>
          <w:sz w:val="14"/>
          <w:szCs w:val="14"/>
          <w:color w:val="auto"/>
        </w:rPr>
      </w:pPr>
    </w:p>
    <w:p>
      <w:pPr>
        <w:jc w:val="both"/>
        <w:ind w:left="2260" w:right="919" w:hanging="312"/>
        <w:spacing w:after="0" w:line="263" w:lineRule="auto"/>
        <w:tabs>
          <w:tab w:leader="none" w:pos="22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36,111,618 shares of Class A common stock that have been granted under the Medline Inc. 2025 Omnibus Incentive Plan (the “Omnibus Incentive Plan”), which includes shares of Class A common stock issuable upon exercise, vesting or settlement, as applicable;</w:t>
      </w:r>
    </w:p>
    <w:p>
      <w:pPr>
        <w:spacing w:after="0" w:line="63" w:lineRule="exact"/>
        <w:rPr>
          <w:rFonts w:ascii="Times New Roman" w:cs="Times New Roman" w:eastAsia="Times New Roman" w:hAnsi="Times New Roman"/>
          <w:sz w:val="14"/>
          <w:szCs w:val="14"/>
          <w:color w:val="auto"/>
        </w:rPr>
      </w:pPr>
    </w:p>
    <w:p>
      <w:pPr>
        <w:ind w:left="2260" w:right="579" w:hanging="312"/>
        <w:spacing w:after="0" w:line="278" w:lineRule="auto"/>
        <w:tabs>
          <w:tab w:leader="none" w:pos="22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89,634,723 additional shares of Class A common stock that may be granted under the Omnibus Incentive Plan, including awards we expect to grant to our named executive officers, other executive officers, and independent directors; or</w:t>
      </w:r>
    </w:p>
    <w:p>
      <w:pPr>
        <w:spacing w:after="0" w:line="53" w:lineRule="exact"/>
        <w:rPr>
          <w:rFonts w:ascii="Times New Roman" w:cs="Times New Roman" w:eastAsia="Times New Roman" w:hAnsi="Times New Roman"/>
          <w:sz w:val="14"/>
          <w:szCs w:val="14"/>
          <w:color w:val="auto"/>
        </w:rPr>
      </w:pPr>
    </w:p>
    <w:p>
      <w:pPr>
        <w:ind w:left="2260" w:right="579" w:hanging="312"/>
        <w:spacing w:after="0" w:line="278" w:lineRule="auto"/>
        <w:tabs>
          <w:tab w:leader="none" w:pos="22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28,116,475 shares of Class A common stock available for issuance under the Medline Inc. 2025 Employee Stock Purchase Plan (the “ESPP”).</w:t>
      </w:r>
    </w:p>
    <w:p>
      <w:pPr>
        <w:spacing w:after="0" w:line="2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0159"/>
          </w:cols>
          <w:pgMar w:left="300" w:top="383" w:right="1440"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36703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393690" cy="3670300"/>
                    </a:xfrm>
                    <a:prstGeom prst="rect">
                      <a:avLst/>
                    </a:prstGeom>
                    <a:noFill/>
                  </pic:spPr>
                </pic:pic>
              </a:graphicData>
            </a:graphic>
          </wp:anchor>
        </w:drawing>
      </w:r>
    </w:p>
    <w:p>
      <w:pPr>
        <w:spacing w:after="0" w:line="360"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4"/>
          <w:szCs w:val="14"/>
          <w:b w:val="1"/>
          <w:bCs w:val="1"/>
          <w:color w:val="auto"/>
        </w:rPr>
        <w:t>Summary Historical Consolidated Financial and Other Data</w:t>
      </w:r>
    </w:p>
    <w:p>
      <w:pPr>
        <w:spacing w:after="0" w:line="174" w:lineRule="exact"/>
        <w:rPr>
          <w:sz w:val="20"/>
          <w:szCs w:val="20"/>
          <w:color w:val="auto"/>
        </w:rPr>
      </w:pPr>
    </w:p>
    <w:p>
      <w:pPr>
        <w:ind w:left="1540" w:right="499" w:firstLine="328"/>
        <w:spacing w:after="0" w:line="251" w:lineRule="auto"/>
        <w:rPr>
          <w:sz w:val="20"/>
          <w:szCs w:val="20"/>
          <w:color w:val="auto"/>
        </w:rPr>
      </w:pPr>
      <w:r>
        <w:rPr>
          <w:rFonts w:ascii="Times New Roman" w:cs="Times New Roman" w:eastAsia="Times New Roman" w:hAnsi="Times New Roman"/>
          <w:sz w:val="14"/>
          <w:szCs w:val="14"/>
          <w:color w:val="auto"/>
        </w:rPr>
        <w:t>The following table presents our summary historical consolidated financial and other data for the periods and at the dates indicated. Medline Inc. is a holding company, and its sole material assets are its equity interests held directly or indirectly through wholly owned subsidiaries in Medline Holdings. As the general partner of Medline Holdings, Medline Inc. operates and controls all of the business and affairs of Medline Holdings and, through Medline Holdings and its subsidiaries, conducts our business. The Reorganization Transactions lacked economic substance and therefore were accounted for in a manner consistent with a reorganization of entities under common control. As a result, the consolidated financial statements of Medline Inc. recognize the assets and liabilities received in the reorganization at their historical carrying amounts, as reflected in the historical financial statements of Medline Holdings. Medline Inc. consolidates Medline Holdings on its consolidated financial statements and records a non-controlling interest related to the limited partnership interests held by certain pre-IPO holders on its consolidated balance sheet and consolidated statement of comprehensive income.</w:t>
      </w:r>
    </w:p>
    <w:p>
      <w:pPr>
        <w:spacing w:after="0" w:line="148" w:lineRule="exact"/>
        <w:rPr>
          <w:sz w:val="20"/>
          <w:szCs w:val="20"/>
          <w:color w:val="auto"/>
        </w:rPr>
      </w:pPr>
    </w:p>
    <w:p>
      <w:pPr>
        <w:ind w:left="1540" w:right="439" w:firstLine="328"/>
        <w:spacing w:after="0" w:line="258" w:lineRule="auto"/>
        <w:rPr>
          <w:sz w:val="20"/>
          <w:szCs w:val="20"/>
          <w:color w:val="auto"/>
        </w:rPr>
      </w:pPr>
      <w:r>
        <w:rPr>
          <w:rFonts w:ascii="Times New Roman" w:cs="Times New Roman" w:eastAsia="Times New Roman" w:hAnsi="Times New Roman"/>
          <w:sz w:val="14"/>
          <w:szCs w:val="14"/>
          <w:color w:val="auto"/>
        </w:rPr>
        <w:t>The summary unaudited condensed consolidated statements of comprehensive income data and statements of cash flows data presented below for the three months ended March 28, 2026 and March 29, 2025 and the summary unaudited condensed consolidated balance sheet data presented below as of March 28, 2026 have been derived from our unaudited condensed consolidated financial statements included within the 2026 Q1 Form 10-Q incorporated by reference in this prospectus.</w:t>
      </w:r>
    </w:p>
    <w:p>
      <w:pPr>
        <w:spacing w:after="0" w:line="140" w:lineRule="exact"/>
        <w:rPr>
          <w:sz w:val="20"/>
          <w:szCs w:val="20"/>
          <w:color w:val="auto"/>
        </w:rPr>
      </w:pPr>
    </w:p>
    <w:p>
      <w:pPr>
        <w:ind w:left="1540" w:right="519" w:firstLine="328"/>
        <w:spacing w:after="0" w:line="292" w:lineRule="auto"/>
        <w:rPr>
          <w:sz w:val="20"/>
          <w:szCs w:val="20"/>
          <w:color w:val="auto"/>
        </w:rPr>
      </w:pPr>
      <w:r>
        <w:rPr>
          <w:rFonts w:ascii="Times New Roman" w:cs="Times New Roman" w:eastAsia="Times New Roman" w:hAnsi="Times New Roman"/>
          <w:sz w:val="13"/>
          <w:szCs w:val="13"/>
          <w:color w:val="auto"/>
        </w:rPr>
        <w:t>The summary consolidated statements of comprehensive income data and statements of cash flows data presented below for the years ended December 31, 2025, 2024 and 2023 and the summary consolidated balance sheet data presented below as of December 31, 2025 and 2024 have been derived from our consolidated financial statements included within the 2025 Form 10-K incorporated by reference in this prospectus.</w:t>
      </w:r>
    </w:p>
    <w:p>
      <w:pPr>
        <w:spacing w:after="0" w:line="120" w:lineRule="exact"/>
        <w:rPr>
          <w:sz w:val="20"/>
          <w:szCs w:val="20"/>
          <w:color w:val="auto"/>
        </w:rPr>
      </w:pPr>
    </w:p>
    <w:p>
      <w:pPr>
        <w:ind w:left="1540" w:right="719" w:firstLine="328"/>
        <w:spacing w:after="0" w:line="278" w:lineRule="auto"/>
        <w:rPr>
          <w:sz w:val="20"/>
          <w:szCs w:val="20"/>
          <w:color w:val="auto"/>
        </w:rPr>
      </w:pPr>
      <w:r>
        <w:rPr>
          <w:rFonts w:ascii="Times New Roman" w:cs="Times New Roman" w:eastAsia="Times New Roman" w:hAnsi="Times New Roman"/>
          <w:sz w:val="14"/>
          <w:szCs w:val="14"/>
          <w:color w:val="auto"/>
        </w:rPr>
        <w:t>Medline Inc. had no significant business transactions or activities prior to the Reorganization Transactions, and, as a result, the historical financial information reflects that of Medline Holdings.</w:t>
      </w:r>
    </w:p>
    <w:p>
      <w:pPr>
        <w:spacing w:after="0" w:line="126" w:lineRule="exact"/>
        <w:rPr>
          <w:sz w:val="20"/>
          <w:szCs w:val="20"/>
          <w:color w:val="auto"/>
        </w:rPr>
      </w:pPr>
    </w:p>
    <w:p>
      <w:pPr>
        <w:ind w:left="1540" w:right="479" w:firstLine="328"/>
        <w:spacing w:after="0" w:line="273" w:lineRule="auto"/>
        <w:rPr>
          <w:sz w:val="20"/>
          <w:szCs w:val="20"/>
          <w:color w:val="auto"/>
        </w:rPr>
      </w:pPr>
      <w:r>
        <w:rPr>
          <w:rFonts w:ascii="Times New Roman" w:cs="Times New Roman" w:eastAsia="Times New Roman" w:hAnsi="Times New Roman"/>
          <w:sz w:val="13"/>
          <w:szCs w:val="13"/>
          <w:color w:val="auto"/>
        </w:rPr>
        <w:t>The unaudited condensed consolidated financial statements have been prepared on the same basis as the audited consolidated financial statements and, in our opinion, have included all adjustments, which include only normal recurring adjustments, necessary to present fairly in all material respects our financial position and results of operations. The results for any interim period are not necessarily indicative of the results that may be expected for the full year. Historical results are not necessarily indicative of the results expected for any future period. You should read the summary historical consolidated financial data below, together with “Part I—Item 1—Financial Statements,” “Part I—Item 2—Management’s Discussion and Analysis of Financial Condition and Results of Operations,” and the unaudited condensed consolidated financial statements and related notes thereto included in our 2026 Q1 Form 10-Q and “Part II—Item 7—Management’s Discussion and Analysis of Financial Condition and Results of Operations,” “Part II—Item 8—Financial Statements and Supplementary Data,” and the historical consolidated financial statements and related notes thereto included in our 2025 Form 10-K, in each case incorporated by reference in this prospectus.</w:t>
      </w:r>
    </w:p>
    <w:p>
      <w:pPr>
        <w:spacing w:after="0" w:line="2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0159"/>
          </w:cols>
          <w:pgMar w:left="300" w:top="383"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36" w:lineRule="exact"/>
        <w:rPr>
          <w:sz w:val="20"/>
          <w:szCs w:val="20"/>
          <w:color w:val="auto"/>
        </w:rPr>
      </w:pPr>
    </w:p>
    <w:tbl>
      <w:tblPr>
        <w:tblLayout w:type="fixed"/>
        <w:tblInd w:w="1410" w:type="dxa"/>
        <w:tblCellMar>
          <w:top w:w="0" w:type="dxa"/>
          <w:left w:w="0" w:type="dxa"/>
          <w:bottom w:w="0" w:type="dxa"/>
          <w:right w:w="0" w:type="dxa"/>
        </w:tblCellMar>
      </w:tblPr>
      <w:tr>
        <w:trPr>
          <w:trHeight w:val="254"/>
        </w:trPr>
        <w:tc>
          <w:tcPr>
            <w:tcW w:w="140" w:type="dxa"/>
            <w:vAlign w:val="bottom"/>
            <w:tcBorders>
              <w:top w:val="single" w:sz="8" w:color="auto"/>
              <w:left w:val="single" w:sz="8" w:color="auto"/>
            </w:tcBorders>
          </w:tcPr>
          <w:p>
            <w:pPr>
              <w:spacing w:after="0"/>
              <w:rPr>
                <w:sz w:val="22"/>
                <w:szCs w:val="22"/>
                <w:color w:val="auto"/>
              </w:rPr>
            </w:pPr>
          </w:p>
        </w:tc>
        <w:tc>
          <w:tcPr>
            <w:tcW w:w="3640" w:type="dxa"/>
            <w:vAlign w:val="bottom"/>
            <w:tcBorders>
              <w:top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1560" w:type="dxa"/>
            <w:vAlign w:val="bottom"/>
            <w:tcBorders>
              <w:top w:val="single" w:sz="8" w:color="auto"/>
              <w:bottom w:val="single" w:sz="8" w:color="auto"/>
            </w:tcBorders>
            <w:gridSpan w:val="4"/>
          </w:tcPr>
          <w:p>
            <w:pPr>
              <w:jc w:val="right"/>
              <w:ind w:right="254"/>
              <w:spacing w:after="0"/>
              <w:rPr>
                <w:sz w:val="20"/>
                <w:szCs w:val="20"/>
                <w:color w:val="auto"/>
              </w:rPr>
            </w:pPr>
            <w:r>
              <w:rPr>
                <w:rFonts w:ascii="Times New Roman" w:cs="Times New Roman" w:eastAsia="Times New Roman" w:hAnsi="Times New Roman"/>
                <w:sz w:val="11"/>
                <w:szCs w:val="11"/>
                <w:b w:val="1"/>
                <w:bCs w:val="1"/>
                <w:color w:val="auto"/>
              </w:rPr>
              <w:t>Unaudited Historical</w:t>
            </w:r>
          </w:p>
        </w:tc>
        <w:tc>
          <w:tcPr>
            <w:tcW w:w="280" w:type="dxa"/>
            <w:vAlign w:val="bottom"/>
            <w:tcBorders>
              <w:top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gridSpan w:val="3"/>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8"/>
              </w:rPr>
              <w:t>Historical</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6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86"/>
        </w:trPr>
        <w:tc>
          <w:tcPr>
            <w:tcW w:w="140" w:type="dxa"/>
            <w:vAlign w:val="bottom"/>
            <w:tcBorders>
              <w:left w:val="single" w:sz="8" w:color="auto"/>
            </w:tcBorders>
          </w:tcPr>
          <w:p>
            <w:pPr>
              <w:spacing w:after="0"/>
              <w:rPr>
                <w:sz w:val="7"/>
                <w:szCs w:val="7"/>
                <w:color w:val="auto"/>
              </w:rPr>
            </w:pPr>
          </w:p>
        </w:tc>
        <w:tc>
          <w:tcPr>
            <w:tcW w:w="3640" w:type="dxa"/>
            <w:vAlign w:val="bottom"/>
          </w:tcPr>
          <w:p>
            <w:pPr>
              <w:spacing w:after="0"/>
              <w:rPr>
                <w:sz w:val="7"/>
                <w:szCs w:val="7"/>
                <w:color w:val="auto"/>
              </w:rPr>
            </w:pPr>
          </w:p>
        </w:tc>
        <w:tc>
          <w:tcPr>
            <w:tcW w:w="960" w:type="dxa"/>
            <w:vAlign w:val="bottom"/>
            <w:gridSpan w:val="3"/>
          </w:tcPr>
          <w:p>
            <w:pPr>
              <w:spacing w:after="0" w:line="86" w:lineRule="exact"/>
              <w:rPr>
                <w:sz w:val="20"/>
                <w:szCs w:val="20"/>
                <w:color w:val="auto"/>
              </w:rPr>
            </w:pPr>
            <w:r>
              <w:rPr>
                <w:rFonts w:ascii="Times New Roman" w:cs="Times New Roman" w:eastAsia="Times New Roman" w:hAnsi="Times New Roman"/>
                <w:sz w:val="9"/>
                <w:szCs w:val="9"/>
                <w:b w:val="1"/>
                <w:bCs w:val="1"/>
                <w:color w:val="auto"/>
              </w:rPr>
              <w:t>Three Months</w:t>
            </w:r>
          </w:p>
        </w:tc>
        <w:tc>
          <w:tcPr>
            <w:tcW w:w="680" w:type="dxa"/>
            <w:vAlign w:val="bottom"/>
            <w:gridSpan w:val="2"/>
          </w:tcPr>
          <w:p>
            <w:pPr>
              <w:spacing w:after="0" w:line="86" w:lineRule="exact"/>
              <w:rPr>
                <w:sz w:val="20"/>
                <w:szCs w:val="20"/>
                <w:color w:val="auto"/>
              </w:rPr>
            </w:pPr>
            <w:r>
              <w:rPr>
                <w:rFonts w:ascii="Times New Roman" w:cs="Times New Roman" w:eastAsia="Times New Roman" w:hAnsi="Times New Roman"/>
                <w:sz w:val="9"/>
                <w:szCs w:val="9"/>
                <w:b w:val="1"/>
                <w:bCs w:val="1"/>
                <w:color w:val="auto"/>
              </w:rPr>
              <w:t>Three Months</w:t>
            </w:r>
          </w:p>
        </w:tc>
        <w:tc>
          <w:tcPr>
            <w:tcW w:w="280" w:type="dxa"/>
            <w:vAlign w:val="bottom"/>
          </w:tcPr>
          <w:p>
            <w:pPr>
              <w:spacing w:after="0"/>
              <w:rPr>
                <w:sz w:val="7"/>
                <w:szCs w:val="7"/>
                <w:color w:val="auto"/>
              </w:rPr>
            </w:pPr>
          </w:p>
        </w:tc>
        <w:tc>
          <w:tcPr>
            <w:tcW w:w="820" w:type="dxa"/>
            <w:vAlign w:val="bottom"/>
            <w:gridSpan w:val="4"/>
            <w:vMerge w:val="restart"/>
          </w:tcPr>
          <w:p>
            <w:pPr>
              <w:jc w:val="right"/>
              <w:ind w:right="165"/>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100" w:type="dxa"/>
            <w:vAlign w:val="bottom"/>
          </w:tcPr>
          <w:p>
            <w:pPr>
              <w:spacing w:after="0"/>
              <w:rPr>
                <w:sz w:val="7"/>
                <w:szCs w:val="7"/>
                <w:color w:val="auto"/>
              </w:rPr>
            </w:pPr>
          </w:p>
        </w:tc>
        <w:tc>
          <w:tcPr>
            <w:tcW w:w="920" w:type="dxa"/>
            <w:vAlign w:val="bottom"/>
            <w:gridSpan w:val="4"/>
            <w:vMerge w:val="restart"/>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8"/>
              </w:rPr>
              <w:t>Year Ended</w:t>
            </w:r>
          </w:p>
        </w:tc>
        <w:tc>
          <w:tcPr>
            <w:tcW w:w="960" w:type="dxa"/>
            <w:vAlign w:val="bottom"/>
            <w:tcBorders>
              <w:right w:val="single" w:sz="8" w:color="auto"/>
            </w:tcBorders>
            <w:gridSpan w:val="5"/>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0" w:type="dxa"/>
            <w:vAlign w:val="bottom"/>
          </w:tcPr>
          <w:p>
            <w:pPr>
              <w:spacing w:after="0"/>
              <w:rPr>
                <w:sz w:val="1"/>
                <w:szCs w:val="1"/>
                <w:color w:val="auto"/>
              </w:rPr>
            </w:pPr>
          </w:p>
        </w:tc>
      </w:tr>
      <w:tr>
        <w:trPr>
          <w:trHeight w:val="114"/>
        </w:trPr>
        <w:tc>
          <w:tcPr>
            <w:tcW w:w="140" w:type="dxa"/>
            <w:vAlign w:val="bottom"/>
            <w:tcBorders>
              <w:left w:val="single" w:sz="8" w:color="auto"/>
            </w:tcBorders>
          </w:tcPr>
          <w:p>
            <w:pPr>
              <w:spacing w:after="0"/>
              <w:rPr>
                <w:sz w:val="9"/>
                <w:szCs w:val="9"/>
                <w:color w:val="auto"/>
              </w:rPr>
            </w:pPr>
          </w:p>
        </w:tc>
        <w:tc>
          <w:tcPr>
            <w:tcW w:w="3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2"/>
          </w:tcPr>
          <w:p>
            <w:pPr>
              <w:jc w:val="center"/>
              <w:ind w:right="340"/>
              <w:spacing w:after="0" w:line="115" w:lineRule="exact"/>
              <w:rPr>
                <w:sz w:val="20"/>
                <w:szCs w:val="20"/>
                <w:color w:val="auto"/>
              </w:rPr>
            </w:pPr>
            <w:r>
              <w:rPr>
                <w:rFonts w:ascii="Times New Roman" w:cs="Times New Roman" w:eastAsia="Times New Roman" w:hAnsi="Times New Roman"/>
                <w:sz w:val="11"/>
                <w:szCs w:val="11"/>
                <w:b w:val="1"/>
                <w:bCs w:val="1"/>
                <w:color w:val="auto"/>
                <w:w w:val="97"/>
              </w:rPr>
              <w:t>Ended</w:t>
            </w:r>
          </w:p>
        </w:tc>
        <w:tc>
          <w:tcPr>
            <w:tcW w:w="80" w:type="dxa"/>
            <w:vAlign w:val="bottom"/>
          </w:tcPr>
          <w:p>
            <w:pPr>
              <w:spacing w:after="0"/>
              <w:rPr>
                <w:sz w:val="9"/>
                <w:szCs w:val="9"/>
                <w:color w:val="auto"/>
              </w:rPr>
            </w:pPr>
          </w:p>
        </w:tc>
        <w:tc>
          <w:tcPr>
            <w:tcW w:w="600" w:type="dxa"/>
            <w:vAlign w:val="bottom"/>
          </w:tcPr>
          <w:p>
            <w:pPr>
              <w:jc w:val="center"/>
              <w:ind w:right="14"/>
              <w:spacing w:after="0" w:line="115" w:lineRule="exact"/>
              <w:rPr>
                <w:sz w:val="20"/>
                <w:szCs w:val="20"/>
                <w:color w:val="auto"/>
              </w:rPr>
            </w:pPr>
            <w:r>
              <w:rPr>
                <w:rFonts w:ascii="Times New Roman" w:cs="Times New Roman" w:eastAsia="Times New Roman" w:hAnsi="Times New Roman"/>
                <w:sz w:val="11"/>
                <w:szCs w:val="11"/>
                <w:b w:val="1"/>
                <w:bCs w:val="1"/>
                <w:color w:val="auto"/>
              </w:rPr>
              <w:t>Ended</w:t>
            </w:r>
          </w:p>
        </w:tc>
        <w:tc>
          <w:tcPr>
            <w:tcW w:w="280" w:type="dxa"/>
            <w:vAlign w:val="bottom"/>
          </w:tcPr>
          <w:p>
            <w:pPr>
              <w:spacing w:after="0"/>
              <w:rPr>
                <w:sz w:val="9"/>
                <w:szCs w:val="9"/>
                <w:color w:val="auto"/>
              </w:rPr>
            </w:pPr>
          </w:p>
        </w:tc>
        <w:tc>
          <w:tcPr>
            <w:tcW w:w="82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960" w:type="dxa"/>
            <w:vAlign w:val="bottom"/>
            <w:tcBorders>
              <w:right w:val="single" w:sz="8" w:color="auto"/>
            </w:tcBorders>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40" w:type="dxa"/>
            <w:vAlign w:val="bottom"/>
            <w:tcBorders>
              <w:left w:val="single" w:sz="8" w:color="auto"/>
            </w:tcBorders>
          </w:tcPr>
          <w:p>
            <w:pPr>
              <w:spacing w:after="0"/>
              <w:rPr>
                <w:sz w:val="9"/>
                <w:szCs w:val="9"/>
                <w:color w:val="auto"/>
              </w:rPr>
            </w:pPr>
          </w:p>
        </w:tc>
        <w:tc>
          <w:tcPr>
            <w:tcW w:w="364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(Amounts in millions, other than per share data)</w:t>
            </w:r>
          </w:p>
        </w:tc>
        <w:tc>
          <w:tcPr>
            <w:tcW w:w="80" w:type="dxa"/>
            <w:vAlign w:val="bottom"/>
          </w:tcPr>
          <w:p>
            <w:pPr>
              <w:spacing w:after="0"/>
              <w:rPr>
                <w:sz w:val="9"/>
                <w:szCs w:val="9"/>
                <w:color w:val="auto"/>
              </w:rPr>
            </w:pPr>
          </w:p>
        </w:tc>
        <w:tc>
          <w:tcPr>
            <w:tcW w:w="880" w:type="dxa"/>
            <w:vAlign w:val="bottom"/>
            <w:gridSpan w:val="2"/>
          </w:tcPr>
          <w:p>
            <w:pPr>
              <w:jc w:val="center"/>
              <w:ind w:right="360"/>
              <w:spacing w:after="0" w:line="115" w:lineRule="exact"/>
              <w:rPr>
                <w:sz w:val="20"/>
                <w:szCs w:val="20"/>
                <w:color w:val="auto"/>
              </w:rPr>
            </w:pPr>
            <w:r>
              <w:rPr>
                <w:rFonts w:ascii="Times New Roman" w:cs="Times New Roman" w:eastAsia="Times New Roman" w:hAnsi="Times New Roman"/>
                <w:sz w:val="11"/>
                <w:szCs w:val="11"/>
                <w:b w:val="1"/>
                <w:bCs w:val="1"/>
                <w:color w:val="auto"/>
                <w:w w:val="99"/>
              </w:rPr>
              <w:t>March 28,</w:t>
            </w:r>
          </w:p>
        </w:tc>
        <w:tc>
          <w:tcPr>
            <w:tcW w:w="80" w:type="dxa"/>
            <w:vAlign w:val="bottom"/>
          </w:tcPr>
          <w:p>
            <w:pPr>
              <w:spacing w:after="0"/>
              <w:rPr>
                <w:sz w:val="9"/>
                <w:szCs w:val="9"/>
                <w:color w:val="auto"/>
              </w:rPr>
            </w:pPr>
          </w:p>
        </w:tc>
        <w:tc>
          <w:tcPr>
            <w:tcW w:w="600" w:type="dxa"/>
            <w:vAlign w:val="bottom"/>
          </w:tcPr>
          <w:p>
            <w:pPr>
              <w:jc w:val="center"/>
              <w:ind w:right="14"/>
              <w:spacing w:after="0" w:line="115" w:lineRule="exact"/>
              <w:rPr>
                <w:sz w:val="20"/>
                <w:szCs w:val="20"/>
                <w:color w:val="auto"/>
              </w:rPr>
            </w:pPr>
            <w:r>
              <w:rPr>
                <w:rFonts w:ascii="Times New Roman" w:cs="Times New Roman" w:eastAsia="Times New Roman" w:hAnsi="Times New Roman"/>
                <w:sz w:val="11"/>
                <w:szCs w:val="11"/>
                <w:b w:val="1"/>
                <w:bCs w:val="1"/>
                <w:color w:val="auto"/>
                <w:w w:val="99"/>
              </w:rPr>
              <w:t>March 29,</w:t>
            </w:r>
          </w:p>
        </w:tc>
        <w:tc>
          <w:tcPr>
            <w:tcW w:w="280" w:type="dxa"/>
            <w:vAlign w:val="bottom"/>
          </w:tcPr>
          <w:p>
            <w:pPr>
              <w:spacing w:after="0"/>
              <w:rPr>
                <w:sz w:val="9"/>
                <w:szCs w:val="9"/>
                <w:color w:val="auto"/>
              </w:rPr>
            </w:pPr>
          </w:p>
        </w:tc>
        <w:tc>
          <w:tcPr>
            <w:tcW w:w="820" w:type="dxa"/>
            <w:vAlign w:val="bottom"/>
            <w:gridSpan w:val="4"/>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100" w:type="dxa"/>
            <w:vAlign w:val="bottom"/>
          </w:tcPr>
          <w:p>
            <w:pPr>
              <w:spacing w:after="0"/>
              <w:rPr>
                <w:sz w:val="9"/>
                <w:szCs w:val="9"/>
                <w:color w:val="auto"/>
              </w:rPr>
            </w:pPr>
          </w:p>
        </w:tc>
        <w:tc>
          <w:tcPr>
            <w:tcW w:w="920" w:type="dxa"/>
            <w:vAlign w:val="bottom"/>
            <w:gridSpan w:val="4"/>
          </w:tcPr>
          <w:p>
            <w:pPr>
              <w:jc w:val="center"/>
              <w:ind w:right="280"/>
              <w:spacing w:after="0" w:line="115" w:lineRule="exact"/>
              <w:rPr>
                <w:sz w:val="20"/>
                <w:szCs w:val="20"/>
                <w:color w:val="auto"/>
              </w:rPr>
            </w:pPr>
            <w:r>
              <w:rPr>
                <w:rFonts w:ascii="Times New Roman" w:cs="Times New Roman" w:eastAsia="Times New Roman" w:hAnsi="Times New Roman"/>
                <w:sz w:val="11"/>
                <w:szCs w:val="11"/>
                <w:b w:val="1"/>
                <w:bCs w:val="1"/>
                <w:color w:val="auto"/>
                <w:w w:val="99"/>
              </w:rPr>
              <w:t>December 31,</w:t>
            </w:r>
          </w:p>
        </w:tc>
        <w:tc>
          <w:tcPr>
            <w:tcW w:w="960" w:type="dxa"/>
            <w:vAlign w:val="bottom"/>
            <w:tcBorders>
              <w:right w:val="single" w:sz="8" w:color="auto"/>
            </w:tcBorders>
            <w:gridSpan w:val="5"/>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34"/>
        </w:trPr>
        <w:tc>
          <w:tcPr>
            <w:tcW w:w="140" w:type="dxa"/>
            <w:vAlign w:val="bottom"/>
            <w:tcBorders>
              <w:left w:val="single" w:sz="8" w:color="auto"/>
            </w:tcBorders>
          </w:tcPr>
          <w:p>
            <w:pPr>
              <w:spacing w:after="0"/>
              <w:rPr>
                <w:sz w:val="11"/>
                <w:szCs w:val="11"/>
                <w:color w:val="auto"/>
              </w:rPr>
            </w:pPr>
          </w:p>
        </w:tc>
        <w:tc>
          <w:tcPr>
            <w:tcW w:w="3640" w:type="dxa"/>
            <w:vAlign w:val="bottom"/>
            <w:tcBorders>
              <w:bottom w:val="single" w:sz="8" w:color="CCEEFF"/>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2026</w:t>
            </w:r>
          </w:p>
        </w:tc>
        <w:tc>
          <w:tcPr>
            <w:tcW w:w="2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2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gridSpan w:val="2"/>
          </w:tcPr>
          <w:p>
            <w:pPr>
              <w:jc w:val="center"/>
              <w:ind w:right="5"/>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2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160" w:type="dxa"/>
            <w:vAlign w:val="bottom"/>
            <w:tcBorders>
              <w:bottom w:val="single" w:sz="8" w:color="CCEEFF"/>
            </w:tcBorders>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40" w:type="dxa"/>
            <w:vAlign w:val="bottom"/>
            <w:tcBorders>
              <w:left w:val="single" w:sz="8" w:color="auto"/>
            </w:tcBorders>
          </w:tcPr>
          <w:p>
            <w:pPr>
              <w:spacing w:after="0"/>
              <w:rPr>
                <w:sz w:val="12"/>
                <w:szCs w:val="12"/>
                <w:color w:val="auto"/>
              </w:rPr>
            </w:pPr>
          </w:p>
        </w:tc>
        <w:tc>
          <w:tcPr>
            <w:tcW w:w="36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Summary Statements of Income:</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40" w:type="dxa"/>
            <w:vAlign w:val="bottom"/>
            <w:tcBorders>
              <w:left w:val="single" w:sz="8" w:color="auto"/>
            </w:tcBorders>
          </w:tcPr>
          <w:p>
            <w:pPr>
              <w:spacing w:after="0"/>
              <w:rPr>
                <w:sz w:val="14"/>
                <w:szCs w:val="14"/>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4"/>
                <w:szCs w:val="14"/>
                <w:color w:val="auto"/>
              </w:rPr>
              <w:t>Net sales</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7,352</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6,644</w:t>
            </w:r>
          </w:p>
        </w:tc>
        <w:tc>
          <w:tcPr>
            <w:tcW w:w="4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28,432</w:t>
            </w:r>
          </w:p>
        </w:tc>
        <w:tc>
          <w:tcPr>
            <w:tcW w:w="14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25,507</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23,231</w:t>
            </w:r>
          </w:p>
        </w:tc>
        <w:tc>
          <w:tcPr>
            <w:tcW w:w="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0" w:type="dxa"/>
            <w:vAlign w:val="bottom"/>
            <w:tcBorders>
              <w:left w:val="single" w:sz="8" w:color="auto"/>
            </w:tcBorders>
          </w:tcPr>
          <w:p>
            <w:pPr>
              <w:spacing w:after="0"/>
              <w:rPr>
                <w:sz w:val="14"/>
                <w:szCs w:val="14"/>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goods sold</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5,511</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4,820</w:t>
            </w:r>
          </w:p>
        </w:tc>
        <w:tc>
          <w:tcPr>
            <w:tcW w:w="28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20,914</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18,531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17,346</w:t>
            </w:r>
          </w:p>
        </w:tc>
        <w:tc>
          <w:tcPr>
            <w:tcW w:w="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40" w:type="dxa"/>
            <w:vAlign w:val="bottom"/>
            <w:tcBorders>
              <w:left w:val="single" w:sz="8" w:color="auto"/>
            </w:tcBorders>
          </w:tcPr>
          <w:p>
            <w:pPr>
              <w:spacing w:after="0"/>
              <w:rPr>
                <w:sz w:val="14"/>
                <w:szCs w:val="14"/>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1,841</w:t>
            </w:r>
          </w:p>
        </w:tc>
        <w:tc>
          <w:tcPr>
            <w:tcW w:w="2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1,824</w:t>
            </w:r>
          </w:p>
        </w:tc>
        <w:tc>
          <w:tcPr>
            <w:tcW w:w="2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7,518</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6,976</w:t>
            </w:r>
          </w:p>
        </w:tc>
        <w:tc>
          <w:tcPr>
            <w:tcW w:w="2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5,885</w:t>
            </w:r>
          </w:p>
        </w:tc>
        <w:tc>
          <w:tcPr>
            <w:tcW w:w="16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0" w:type="dxa"/>
            <w:vAlign w:val="bottom"/>
            <w:tcBorders>
              <w:left w:val="single" w:sz="8" w:color="auto"/>
            </w:tcBorders>
          </w:tcPr>
          <w:p>
            <w:pPr>
              <w:spacing w:after="0"/>
              <w:rPr>
                <w:sz w:val="14"/>
                <w:szCs w:val="14"/>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expense</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0" w:type="dxa"/>
            <w:vAlign w:val="bottom"/>
            <w:tcBorders>
              <w:left w:val="single" w:sz="8" w:color="auto"/>
            </w:tcBorders>
          </w:tcPr>
          <w:p>
            <w:pPr>
              <w:spacing w:after="0"/>
              <w:rPr>
                <w:sz w:val="14"/>
                <w:szCs w:val="14"/>
                <w:color w:val="auto"/>
              </w:rPr>
            </w:pPr>
          </w:p>
        </w:tc>
        <w:tc>
          <w:tcPr>
            <w:tcW w:w="3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8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1,228</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1,070</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4,524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4,108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3,867</w:t>
            </w:r>
          </w:p>
        </w:tc>
        <w:tc>
          <w:tcPr>
            <w:tcW w:w="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0" w:type="dxa"/>
            <w:vAlign w:val="bottom"/>
            <w:tcBorders>
              <w:left w:val="single" w:sz="8" w:color="auto"/>
            </w:tcBorders>
          </w:tcPr>
          <w:p>
            <w:pPr>
              <w:spacing w:after="0"/>
              <w:rPr>
                <w:sz w:val="14"/>
                <w:szCs w:val="14"/>
                <w:color w:val="auto"/>
              </w:rPr>
            </w:pPr>
          </w:p>
        </w:tc>
        <w:tc>
          <w:tcPr>
            <w:tcW w:w="3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176</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28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704</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685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662</w:t>
            </w:r>
          </w:p>
        </w:tc>
        <w:tc>
          <w:tcPr>
            <w:tcW w:w="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0" w:type="dxa"/>
            <w:vAlign w:val="bottom"/>
            <w:tcBorders>
              <w:left w:val="single" w:sz="8" w:color="auto"/>
            </w:tcBorders>
          </w:tcPr>
          <w:p>
            <w:pPr>
              <w:spacing w:after="0"/>
              <w:rPr>
                <w:sz w:val="14"/>
                <w:szCs w:val="14"/>
                <w:color w:val="auto"/>
              </w:rPr>
            </w:pPr>
          </w:p>
        </w:tc>
        <w:tc>
          <w:tcPr>
            <w:tcW w:w="3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operating expenses</w:t>
            </w:r>
          </w:p>
        </w:tc>
        <w:tc>
          <w:tcPr>
            <w:tcW w:w="8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106</w:t>
            </w:r>
          </w:p>
        </w:tc>
        <w:tc>
          <w:tcPr>
            <w:tcW w:w="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40" w:type="dxa"/>
            <w:vAlign w:val="bottom"/>
            <w:tcBorders>
              <w:left w:val="single" w:sz="8" w:color="auto"/>
            </w:tcBorders>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40" w:type="dxa"/>
            <w:vAlign w:val="bottom"/>
            <w:tcBorders>
              <w:left w:val="single" w:sz="8" w:color="auto"/>
            </w:tcBorders>
          </w:tcPr>
          <w:p>
            <w:pPr>
              <w:spacing w:after="0"/>
              <w:rPr>
                <w:sz w:val="14"/>
                <w:szCs w:val="14"/>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operating expense</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1,419</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1,253</w:t>
            </w:r>
          </w:p>
        </w:tc>
        <w:tc>
          <w:tcPr>
            <w:tcW w:w="28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5,306</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4,830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4,635</w:t>
            </w:r>
          </w:p>
        </w:tc>
        <w:tc>
          <w:tcPr>
            <w:tcW w:w="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40" w:type="dxa"/>
            <w:vAlign w:val="bottom"/>
            <w:tcBorders>
              <w:left w:val="single" w:sz="8" w:color="auto"/>
            </w:tcBorders>
          </w:tcPr>
          <w:p>
            <w:pPr>
              <w:spacing w:after="0"/>
              <w:rPr>
                <w:sz w:val="14"/>
                <w:szCs w:val="14"/>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2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571</w:t>
            </w:r>
          </w:p>
        </w:tc>
        <w:tc>
          <w:tcPr>
            <w:tcW w:w="2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2,212</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2,146</w:t>
            </w:r>
          </w:p>
        </w:tc>
        <w:tc>
          <w:tcPr>
            <w:tcW w:w="2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16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0" w:type="dxa"/>
            <w:vAlign w:val="bottom"/>
            <w:tcBorders>
              <w:left w:val="single" w:sz="8" w:color="auto"/>
            </w:tcBorders>
          </w:tcPr>
          <w:p>
            <w:pPr>
              <w:spacing w:after="0"/>
              <w:rPr>
                <w:sz w:val="14"/>
                <w:szCs w:val="14"/>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expense</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0" w:type="dxa"/>
            <w:vAlign w:val="bottom"/>
            <w:tcBorders>
              <w:left w:val="single" w:sz="8" w:color="auto"/>
            </w:tcBorders>
          </w:tcPr>
          <w:p>
            <w:pPr>
              <w:spacing w:after="0"/>
              <w:rPr>
                <w:sz w:val="14"/>
                <w:szCs w:val="14"/>
                <w:color w:val="auto"/>
              </w:rPr>
            </w:pPr>
          </w:p>
        </w:tc>
        <w:tc>
          <w:tcPr>
            <w:tcW w:w="3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Interest expense, net</w:t>
            </w:r>
          </w:p>
        </w:tc>
        <w:tc>
          <w:tcPr>
            <w:tcW w:w="8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tcPr>
          <w:p>
            <w:pPr>
              <w:spacing w:after="0"/>
              <w:rPr>
                <w:sz w:val="14"/>
                <w:szCs w:val="14"/>
                <w:color w:val="auto"/>
              </w:rPr>
            </w:pPr>
          </w:p>
        </w:tc>
        <w:tc>
          <w:tcPr>
            <w:tcW w:w="880" w:type="dxa"/>
            <w:vAlign w:val="bottom"/>
            <w:gridSpan w:val="2"/>
          </w:tcPr>
          <w:p>
            <w:pPr>
              <w:jc w:val="right"/>
              <w:ind w:right="171"/>
              <w:spacing w:after="0"/>
              <w:rPr>
                <w:sz w:val="20"/>
                <w:szCs w:val="20"/>
                <w:color w:val="auto"/>
              </w:rPr>
            </w:pPr>
            <w:r>
              <w:rPr>
                <w:rFonts w:ascii="Times New Roman" w:cs="Times New Roman" w:eastAsia="Times New Roman" w:hAnsi="Times New Roman"/>
                <w:sz w:val="14"/>
                <w:szCs w:val="14"/>
                <w:color w:val="auto"/>
              </w:rPr>
              <w:t>(210)</w:t>
            </w:r>
          </w:p>
        </w:tc>
        <w:tc>
          <w:tcPr>
            <w:tcW w:w="140" w:type="dxa"/>
            <w:vAlign w:val="bottom"/>
          </w:tcPr>
          <w:p>
            <w:pPr>
              <w:spacing w:after="0"/>
              <w:rPr>
                <w:sz w:val="14"/>
                <w:szCs w:val="14"/>
                <w:color w:val="auto"/>
              </w:rPr>
            </w:pPr>
          </w:p>
        </w:tc>
        <w:tc>
          <w:tcPr>
            <w:tcW w:w="680" w:type="dxa"/>
            <w:vAlign w:val="bottom"/>
            <w:gridSpan w:val="3"/>
          </w:tcPr>
          <w:p>
            <w:pPr>
              <w:jc w:val="right"/>
              <w:ind w:right="65"/>
              <w:spacing w:after="0"/>
              <w:rPr>
                <w:sz w:val="20"/>
                <w:szCs w:val="20"/>
                <w:color w:val="auto"/>
              </w:rPr>
            </w:pPr>
            <w:r>
              <w:rPr>
                <w:rFonts w:ascii="Times New Roman" w:cs="Times New Roman" w:eastAsia="Times New Roman" w:hAnsi="Times New Roman"/>
                <w:sz w:val="14"/>
                <w:szCs w:val="14"/>
                <w:color w:val="auto"/>
              </w:rPr>
              <w:t>(812)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(864)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(976)</w:t>
            </w:r>
          </w:p>
        </w:tc>
        <w:tc>
          <w:tcPr>
            <w:tcW w:w="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0" w:type="dxa"/>
            <w:vAlign w:val="bottom"/>
            <w:tcBorders>
              <w:left w:val="single" w:sz="8" w:color="auto"/>
            </w:tcBorders>
          </w:tcPr>
          <w:p>
            <w:pPr>
              <w:spacing w:after="0"/>
              <w:rPr>
                <w:sz w:val="14"/>
                <w:szCs w:val="14"/>
                <w:color w:val="auto"/>
              </w:rPr>
            </w:pPr>
          </w:p>
        </w:tc>
        <w:tc>
          <w:tcPr>
            <w:tcW w:w="3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income (expense), net</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center"/>
              <w:ind w:left="294"/>
              <w:spacing w:after="0"/>
              <w:rPr>
                <w:sz w:val="20"/>
                <w:szCs w:val="20"/>
                <w:color w:val="auto"/>
              </w:rPr>
            </w:pPr>
            <w:r>
              <w:rPr>
                <w:rFonts w:ascii="Times New Roman" w:cs="Times New Roman" w:eastAsia="Times New Roman" w:hAnsi="Times New Roman"/>
                <w:sz w:val="14"/>
                <w:szCs w:val="14"/>
                <w:color w:val="auto"/>
                <w:w w:val="75"/>
              </w:rPr>
              <w:t>— </w:t>
            </w:r>
          </w:p>
        </w:tc>
        <w:tc>
          <w:tcPr>
            <w:tcW w:w="28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680" w:type="dxa"/>
            <w:vAlign w:val="bottom"/>
            <w:gridSpan w:val="3"/>
            <w:shd w:val="clear" w:color="auto" w:fill="CCEEFF"/>
          </w:tcPr>
          <w:p>
            <w:pPr>
              <w:jc w:val="right"/>
              <w:ind w:right="65"/>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0" w:type="dxa"/>
            <w:vAlign w:val="bottom"/>
            <w:tcBorders>
              <w:left w:val="single" w:sz="8" w:color="auto"/>
            </w:tcBorders>
          </w:tcPr>
          <w:p>
            <w:pPr>
              <w:spacing w:after="0"/>
              <w:rPr>
                <w:sz w:val="14"/>
                <w:szCs w:val="14"/>
                <w:color w:val="auto"/>
              </w:rPr>
            </w:pPr>
          </w:p>
        </w:tc>
        <w:tc>
          <w:tcPr>
            <w:tcW w:w="3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Foreign exchange gain (loss), net</w:t>
            </w:r>
          </w:p>
        </w:tc>
        <w:tc>
          <w:tcPr>
            <w:tcW w:w="8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4"/>
                <w:szCs w:val="14"/>
                <w:color w:val="auto"/>
              </w:rPr>
            </w:pPr>
          </w:p>
        </w:tc>
        <w:tc>
          <w:tcPr>
            <w:tcW w:w="880" w:type="dxa"/>
            <w:vAlign w:val="bottom"/>
            <w:gridSpan w:val="2"/>
          </w:tcPr>
          <w:p>
            <w:pPr>
              <w:jc w:val="right"/>
              <w:ind w:right="171"/>
              <w:spacing w:after="0"/>
              <w:rPr>
                <w:sz w:val="20"/>
                <w:szCs w:val="20"/>
                <w:color w:val="auto"/>
              </w:rPr>
            </w:pPr>
            <w:r>
              <w:rPr>
                <w:rFonts w:ascii="Times New Roman" w:cs="Times New Roman" w:eastAsia="Times New Roman" w:hAnsi="Times New Roman"/>
                <w:sz w:val="14"/>
                <w:szCs w:val="14"/>
                <w:color w:val="auto"/>
              </w:rPr>
              <w:t>(23)</w:t>
            </w:r>
          </w:p>
        </w:tc>
        <w:tc>
          <w:tcPr>
            <w:tcW w:w="140" w:type="dxa"/>
            <w:vAlign w:val="bottom"/>
          </w:tcPr>
          <w:p>
            <w:pPr>
              <w:spacing w:after="0"/>
              <w:rPr>
                <w:sz w:val="14"/>
                <w:szCs w:val="14"/>
                <w:color w:val="auto"/>
              </w:rPr>
            </w:pPr>
          </w:p>
        </w:tc>
        <w:tc>
          <w:tcPr>
            <w:tcW w:w="680" w:type="dxa"/>
            <w:vAlign w:val="bottom"/>
            <w:gridSpan w:val="3"/>
          </w:tcPr>
          <w:p>
            <w:pPr>
              <w:jc w:val="right"/>
              <w:ind w:right="65"/>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w:t>
            </w:r>
          </w:p>
        </w:tc>
        <w:tc>
          <w:tcPr>
            <w:tcW w:w="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40" w:type="dxa"/>
            <w:vAlign w:val="bottom"/>
            <w:tcBorders>
              <w:left w:val="single" w:sz="8" w:color="auto"/>
            </w:tcBorders>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40" w:type="dxa"/>
            <w:vAlign w:val="bottom"/>
            <w:tcBorders>
              <w:left w:val="single" w:sz="8" w:color="auto"/>
            </w:tcBorders>
          </w:tcPr>
          <w:p>
            <w:pPr>
              <w:spacing w:after="0"/>
              <w:rPr>
                <w:sz w:val="14"/>
                <w:szCs w:val="14"/>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other expense</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(131)</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rPr>
              <w:t>(233)</w:t>
            </w:r>
          </w:p>
        </w:tc>
        <w:tc>
          <w:tcPr>
            <w:tcW w:w="140" w:type="dxa"/>
            <w:vAlign w:val="bottom"/>
            <w:tcBorders>
              <w:left w:val="single" w:sz="8" w:color="CCEEFF"/>
            </w:tcBorders>
            <w:shd w:val="clear" w:color="auto" w:fill="CCEEFF"/>
          </w:tcPr>
          <w:p>
            <w:pPr>
              <w:spacing w:after="0"/>
              <w:rPr>
                <w:sz w:val="14"/>
                <w:szCs w:val="14"/>
                <w:color w:val="auto"/>
              </w:rPr>
            </w:pPr>
          </w:p>
        </w:tc>
        <w:tc>
          <w:tcPr>
            <w:tcW w:w="680" w:type="dxa"/>
            <w:vAlign w:val="bottom"/>
            <w:gridSpan w:val="3"/>
            <w:shd w:val="clear" w:color="auto" w:fill="CCEEFF"/>
          </w:tcPr>
          <w:p>
            <w:pPr>
              <w:jc w:val="right"/>
              <w:ind w:right="65"/>
              <w:spacing w:after="0"/>
              <w:rPr>
                <w:sz w:val="20"/>
                <w:szCs w:val="20"/>
                <w:color w:val="auto"/>
              </w:rPr>
            </w:pPr>
            <w:r>
              <w:rPr>
                <w:rFonts w:ascii="Times New Roman" w:cs="Times New Roman" w:eastAsia="Times New Roman" w:hAnsi="Times New Roman"/>
                <w:sz w:val="14"/>
                <w:szCs w:val="14"/>
                <w:color w:val="auto"/>
              </w:rPr>
              <w:t>(964)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(900)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(986)</w:t>
            </w:r>
          </w:p>
        </w:tc>
        <w:tc>
          <w:tcPr>
            <w:tcW w:w="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40" w:type="dxa"/>
            <w:vAlign w:val="bottom"/>
            <w:tcBorders>
              <w:left w:val="single" w:sz="8" w:color="auto"/>
            </w:tcBorders>
          </w:tcPr>
          <w:p>
            <w:pPr>
              <w:spacing w:after="0"/>
              <w:rPr>
                <w:sz w:val="14"/>
                <w:szCs w:val="14"/>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Income before income taxes</w:t>
            </w: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2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2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1,248</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1,246</w:t>
            </w:r>
          </w:p>
        </w:tc>
        <w:tc>
          <w:tcPr>
            <w:tcW w:w="2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6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0" w:type="dxa"/>
            <w:vAlign w:val="bottom"/>
            <w:tcBorders>
              <w:left w:val="single" w:sz="8" w:color="auto"/>
            </w:tcBorders>
          </w:tcPr>
          <w:p>
            <w:pPr>
              <w:spacing w:after="0"/>
              <w:rPr>
                <w:sz w:val="14"/>
                <w:szCs w:val="14"/>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8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91</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30</w:t>
            </w:r>
          </w:p>
        </w:tc>
        <w:tc>
          <w:tcPr>
            <w:tcW w:w="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40" w:type="dxa"/>
            <w:vAlign w:val="bottom"/>
            <w:tcBorders>
              <w:left w:val="single" w:sz="8" w:color="auto"/>
            </w:tcBorders>
          </w:tcPr>
          <w:p>
            <w:pPr>
              <w:spacing w:after="0"/>
              <w:rPr>
                <w:sz w:val="14"/>
                <w:szCs w:val="14"/>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2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2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1,157</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280" w:type="dxa"/>
            <w:vAlign w:val="bottom"/>
          </w:tcPr>
          <w:p>
            <w:pPr>
              <w:spacing w:after="0"/>
              <w:rPr>
                <w:sz w:val="14"/>
                <w:szCs w:val="14"/>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16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0" w:type="dxa"/>
            <w:vAlign w:val="bottom"/>
            <w:tcBorders>
              <w:left w:val="single" w:sz="8" w:color="auto"/>
            </w:tcBorders>
          </w:tcPr>
          <w:p>
            <w:pPr>
              <w:spacing w:after="0"/>
              <w:rPr>
                <w:sz w:val="14"/>
                <w:szCs w:val="14"/>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(loss) attributable to noncontrolling interests</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110</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center"/>
              <w:ind w:left="294"/>
              <w:spacing w:after="0"/>
              <w:rPr>
                <w:sz w:val="20"/>
                <w:szCs w:val="20"/>
                <w:color w:val="auto"/>
              </w:rPr>
            </w:pPr>
            <w:r>
              <w:rPr>
                <w:rFonts w:ascii="Times New Roman" w:cs="Times New Roman" w:eastAsia="Times New Roman" w:hAnsi="Times New Roman"/>
                <w:sz w:val="14"/>
                <w:szCs w:val="14"/>
                <w:color w:val="auto"/>
                <w:w w:val="75"/>
              </w:rPr>
              <w:t>— </w:t>
            </w:r>
          </w:p>
        </w:tc>
        <w:tc>
          <w:tcPr>
            <w:tcW w:w="4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3"/>
            <w:shd w:val="clear" w:color="auto" w:fill="CCEEFF"/>
          </w:tcPr>
          <w:p>
            <w:pPr>
              <w:jc w:val="right"/>
              <w:ind w:right="65"/>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40" w:type="dxa"/>
            <w:vAlign w:val="bottom"/>
            <w:tcBorders>
              <w:left w:val="single" w:sz="8" w:color="auto"/>
            </w:tcBorders>
          </w:tcPr>
          <w:p>
            <w:pPr>
              <w:spacing w:after="0"/>
              <w:rPr>
                <w:sz w:val="14"/>
                <w:szCs w:val="14"/>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4"/>
                <w:szCs w:val="14"/>
                <w:color w:val="auto"/>
              </w:rPr>
              <w:t>Net income attributable to Medline Inc.</w:t>
            </w: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280" w:type="dxa"/>
            <w:vAlign w:val="bottom"/>
          </w:tcPr>
          <w:p>
            <w:pPr>
              <w:spacing w:after="0"/>
              <w:rPr>
                <w:sz w:val="14"/>
                <w:szCs w:val="14"/>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280" w:type="dxa"/>
            <w:vAlign w:val="bottom"/>
          </w:tcPr>
          <w:p>
            <w:pPr>
              <w:spacing w:after="0"/>
              <w:rPr>
                <w:sz w:val="14"/>
                <w:szCs w:val="14"/>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1,159</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0" w:type="dxa"/>
            <w:vAlign w:val="bottom"/>
            <w:tcBorders>
              <w:left w:val="single" w:sz="8" w:color="auto"/>
            </w:tcBorders>
          </w:tcPr>
          <w:p>
            <w:pPr>
              <w:spacing w:after="0"/>
              <w:rPr>
                <w:sz w:val="14"/>
                <w:szCs w:val="14"/>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Earnings (loss) per share attributable to Medline Inc.:</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0" w:type="dxa"/>
            <w:vAlign w:val="bottom"/>
            <w:tcBorders>
              <w:left w:val="single" w:sz="8" w:color="auto"/>
            </w:tcBorders>
          </w:tcPr>
          <w:p>
            <w:pPr>
              <w:spacing w:after="0"/>
              <w:rPr>
                <w:sz w:val="14"/>
                <w:szCs w:val="14"/>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4"/>
                <w:szCs w:val="14"/>
                <w:color w:val="auto"/>
              </w:rPr>
              <w:t>Basic</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0.16</w:t>
            </w:r>
          </w:p>
        </w:tc>
        <w:tc>
          <w:tcPr>
            <w:tcW w:w="80" w:type="dxa"/>
            <w:vAlign w:val="bottom"/>
          </w:tcPr>
          <w:p>
            <w:pPr>
              <w:spacing w:after="0"/>
              <w:rPr>
                <w:sz w:val="14"/>
                <w:szCs w:val="14"/>
                <w:color w:val="auto"/>
              </w:rPr>
            </w:pPr>
          </w:p>
        </w:tc>
        <w:tc>
          <w:tcPr>
            <w:tcW w:w="600" w:type="dxa"/>
            <w:vAlign w:val="bottom"/>
          </w:tcPr>
          <w:p>
            <w:pPr>
              <w:jc w:val="center"/>
              <w:ind w:left="294"/>
              <w:spacing w:after="0"/>
              <w:rPr>
                <w:sz w:val="20"/>
                <w:szCs w:val="20"/>
                <w:color w:val="auto"/>
              </w:rPr>
            </w:pPr>
            <w:r>
              <w:rPr>
                <w:rFonts w:ascii="Times New Roman" w:cs="Times New Roman" w:eastAsia="Times New Roman" w:hAnsi="Times New Roman"/>
                <w:sz w:val="14"/>
                <w:szCs w:val="14"/>
                <w:color w:val="auto"/>
                <w:w w:val="99"/>
              </w:rPr>
              <w:t>N/A</w:t>
            </w:r>
          </w:p>
        </w:tc>
        <w:tc>
          <w:tcPr>
            <w:tcW w:w="4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3"/>
          </w:tcPr>
          <w:p>
            <w:pPr>
              <w:jc w:val="right"/>
              <w:ind w:right="65"/>
              <w:spacing w:after="0"/>
              <w:rPr>
                <w:sz w:val="20"/>
                <w:szCs w:val="20"/>
                <w:color w:val="auto"/>
              </w:rPr>
            </w:pPr>
            <w:r>
              <w:rPr>
                <w:rFonts w:ascii="Times New Roman" w:cs="Times New Roman" w:eastAsia="Times New Roman" w:hAnsi="Times New Roman"/>
                <w:sz w:val="14"/>
                <w:szCs w:val="14"/>
                <w:color w:val="auto"/>
              </w:rPr>
              <w:t>(0.01)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0" w:type="dxa"/>
            <w:vAlign w:val="bottom"/>
            <w:tcBorders>
              <w:left w:val="single" w:sz="8" w:color="auto"/>
            </w:tcBorders>
          </w:tcPr>
          <w:p>
            <w:pPr>
              <w:spacing w:after="0"/>
              <w:rPr>
                <w:sz w:val="14"/>
                <w:szCs w:val="14"/>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Diluted</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0.16</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center"/>
              <w:ind w:left="294"/>
              <w:spacing w:after="0"/>
              <w:rPr>
                <w:sz w:val="20"/>
                <w:szCs w:val="20"/>
                <w:color w:val="auto"/>
              </w:rPr>
            </w:pPr>
            <w:r>
              <w:rPr>
                <w:rFonts w:ascii="Times New Roman" w:cs="Times New Roman" w:eastAsia="Times New Roman" w:hAnsi="Times New Roman"/>
                <w:sz w:val="14"/>
                <w:szCs w:val="14"/>
                <w:color w:val="auto"/>
                <w:w w:val="99"/>
              </w:rPr>
              <w:t>N/A</w:t>
            </w:r>
          </w:p>
        </w:tc>
        <w:tc>
          <w:tcPr>
            <w:tcW w:w="4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3"/>
            <w:shd w:val="clear" w:color="auto" w:fill="CCEEFF"/>
          </w:tcPr>
          <w:p>
            <w:pPr>
              <w:jc w:val="right"/>
              <w:ind w:right="65"/>
              <w:spacing w:after="0"/>
              <w:rPr>
                <w:sz w:val="20"/>
                <w:szCs w:val="20"/>
                <w:color w:val="auto"/>
              </w:rPr>
            </w:pPr>
            <w:r>
              <w:rPr>
                <w:rFonts w:ascii="Times New Roman" w:cs="Times New Roman" w:eastAsia="Times New Roman" w:hAnsi="Times New Roman"/>
                <w:sz w:val="14"/>
                <w:szCs w:val="14"/>
                <w:color w:val="auto"/>
              </w:rPr>
              <w:t>(0.01)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40" w:type="dxa"/>
            <w:vAlign w:val="bottom"/>
            <w:tcBorders>
              <w:left w:val="single" w:sz="8" w:color="auto"/>
            </w:tcBorders>
          </w:tcPr>
          <w:p>
            <w:pPr>
              <w:spacing w:after="0"/>
              <w:rPr>
                <w:sz w:val="13"/>
                <w:szCs w:val="13"/>
                <w:color w:val="auto"/>
              </w:rPr>
            </w:pPr>
          </w:p>
        </w:tc>
        <w:tc>
          <w:tcPr>
            <w:tcW w:w="3640" w:type="dxa"/>
            <w:vAlign w:val="bottom"/>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Weighted-average number of Class A common stock</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40" w:type="dxa"/>
            <w:vAlign w:val="bottom"/>
            <w:tcBorders>
              <w:left w:val="single" w:sz="8" w:color="auto"/>
            </w:tcBorders>
          </w:tcPr>
          <w:p>
            <w:pPr>
              <w:spacing w:after="0"/>
              <w:rPr>
                <w:sz w:val="15"/>
                <w:szCs w:val="15"/>
                <w:color w:val="auto"/>
              </w:rPr>
            </w:pPr>
          </w:p>
        </w:tc>
        <w:tc>
          <w:tcPr>
            <w:tcW w:w="36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40" w:type="dxa"/>
            <w:vAlign w:val="bottom"/>
            <w:tcBorders>
              <w:left w:val="single" w:sz="8" w:color="auto"/>
            </w:tcBorders>
          </w:tcPr>
          <w:p>
            <w:pPr>
              <w:spacing w:after="0"/>
              <w:rPr>
                <w:sz w:val="14"/>
                <w:szCs w:val="14"/>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819</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center"/>
              <w:ind w:left="294"/>
              <w:spacing w:after="0"/>
              <w:rPr>
                <w:sz w:val="20"/>
                <w:szCs w:val="20"/>
                <w:color w:val="auto"/>
              </w:rPr>
            </w:pPr>
            <w:r>
              <w:rPr>
                <w:rFonts w:ascii="Times New Roman" w:cs="Times New Roman" w:eastAsia="Times New Roman" w:hAnsi="Times New Roman"/>
                <w:sz w:val="14"/>
                <w:szCs w:val="14"/>
                <w:color w:val="auto"/>
                <w:w w:val="99"/>
              </w:rPr>
              <w:t>N/A</w:t>
            </w:r>
          </w:p>
        </w:tc>
        <w:tc>
          <w:tcPr>
            <w:tcW w:w="28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810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40" w:type="dxa"/>
            <w:vAlign w:val="bottom"/>
            <w:tcBorders>
              <w:left w:val="single" w:sz="8" w:color="auto"/>
            </w:tcBorders>
          </w:tcPr>
          <w:p>
            <w:pPr>
              <w:spacing w:after="0"/>
              <w:rPr>
                <w:sz w:val="15"/>
                <w:szCs w:val="15"/>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4"/>
                <w:szCs w:val="14"/>
                <w:color w:val="auto"/>
              </w:rPr>
              <w:t>Diluted</w:t>
            </w:r>
          </w:p>
        </w:tc>
        <w:tc>
          <w:tcPr>
            <w:tcW w:w="80" w:type="dxa"/>
            <w:vAlign w:val="bottom"/>
          </w:tcPr>
          <w:p>
            <w:pPr>
              <w:spacing w:after="0"/>
              <w:rPr>
                <w:sz w:val="15"/>
                <w:szCs w:val="15"/>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825</w:t>
            </w:r>
          </w:p>
        </w:tc>
        <w:tc>
          <w:tcPr>
            <w:tcW w:w="80" w:type="dxa"/>
            <w:vAlign w:val="bottom"/>
          </w:tcPr>
          <w:p>
            <w:pPr>
              <w:spacing w:after="0"/>
              <w:rPr>
                <w:sz w:val="15"/>
                <w:szCs w:val="15"/>
                <w:color w:val="auto"/>
              </w:rPr>
            </w:pPr>
          </w:p>
        </w:tc>
        <w:tc>
          <w:tcPr>
            <w:tcW w:w="600" w:type="dxa"/>
            <w:vAlign w:val="bottom"/>
          </w:tcPr>
          <w:p>
            <w:pPr>
              <w:jc w:val="center"/>
              <w:ind w:left="294"/>
              <w:spacing w:after="0"/>
              <w:rPr>
                <w:sz w:val="20"/>
                <w:szCs w:val="20"/>
                <w:color w:val="auto"/>
              </w:rPr>
            </w:pPr>
            <w:r>
              <w:rPr>
                <w:rFonts w:ascii="Times New Roman" w:cs="Times New Roman" w:eastAsia="Times New Roman" w:hAnsi="Times New Roman"/>
                <w:sz w:val="14"/>
                <w:szCs w:val="14"/>
                <w:color w:val="auto"/>
                <w:w w:val="99"/>
              </w:rPr>
              <w:t>N/A</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810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86"/>
        </w:trPr>
        <w:tc>
          <w:tcPr>
            <w:tcW w:w="140" w:type="dxa"/>
            <w:vAlign w:val="bottom"/>
            <w:tcBorders>
              <w:left w:val="single" w:sz="8" w:color="auto"/>
            </w:tcBorders>
          </w:tcPr>
          <w:p>
            <w:pPr>
              <w:spacing w:after="0"/>
              <w:rPr>
                <w:sz w:val="24"/>
                <w:szCs w:val="24"/>
                <w:color w:val="auto"/>
              </w:rPr>
            </w:pPr>
          </w:p>
        </w:tc>
        <w:tc>
          <w:tcPr>
            <w:tcW w:w="3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Unaudited Historical</w:t>
            </w: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gridSpan w:val="4"/>
          </w:tcPr>
          <w:p>
            <w:pPr>
              <w:jc w:val="right"/>
              <w:ind w:right="105"/>
              <w:spacing w:after="0"/>
              <w:rPr>
                <w:sz w:val="20"/>
                <w:szCs w:val="20"/>
                <w:color w:val="auto"/>
              </w:rPr>
            </w:pPr>
            <w:r>
              <w:rPr>
                <w:rFonts w:ascii="Times New Roman" w:cs="Times New Roman" w:eastAsia="Times New Roman" w:hAnsi="Times New Roman"/>
                <w:sz w:val="11"/>
                <w:szCs w:val="11"/>
                <w:b w:val="1"/>
                <w:bCs w:val="1"/>
                <w:color w:val="auto"/>
              </w:rPr>
              <w:t>Historical</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140" w:type="dxa"/>
            <w:vAlign w:val="bottom"/>
            <w:tcBorders>
              <w:left w:val="single" w:sz="8" w:color="auto"/>
            </w:tcBorders>
          </w:tcPr>
          <w:p>
            <w:pPr>
              <w:spacing w:after="0"/>
              <w:rPr>
                <w:sz w:val="7"/>
                <w:szCs w:val="7"/>
                <w:color w:val="auto"/>
              </w:rPr>
            </w:pPr>
          </w:p>
        </w:tc>
        <w:tc>
          <w:tcPr>
            <w:tcW w:w="3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jc w:val="center"/>
              <w:ind w:left="174"/>
              <w:spacing w:after="0" w:line="86" w:lineRule="exact"/>
              <w:rPr>
                <w:sz w:val="20"/>
                <w:szCs w:val="20"/>
                <w:color w:val="auto"/>
              </w:rPr>
            </w:pPr>
            <w:r>
              <w:rPr>
                <w:rFonts w:ascii="Times New Roman" w:cs="Times New Roman" w:eastAsia="Times New Roman" w:hAnsi="Times New Roman"/>
                <w:sz w:val="9"/>
                <w:szCs w:val="9"/>
                <w:b w:val="1"/>
                <w:bCs w:val="1"/>
                <w:color w:val="auto"/>
              </w:rPr>
              <w:t>As of</w:t>
            </w:r>
          </w:p>
        </w:tc>
        <w:tc>
          <w:tcPr>
            <w:tcW w:w="28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020" w:type="dxa"/>
            <w:vAlign w:val="bottom"/>
            <w:tcBorders>
              <w:top w:val="single" w:sz="8" w:color="auto"/>
            </w:tcBorders>
            <w:gridSpan w:val="5"/>
          </w:tcPr>
          <w:p>
            <w:pPr>
              <w:jc w:val="center"/>
              <w:ind w:right="660"/>
              <w:spacing w:after="0" w:line="86" w:lineRule="exact"/>
              <w:rPr>
                <w:sz w:val="20"/>
                <w:szCs w:val="20"/>
                <w:color w:val="auto"/>
              </w:rPr>
            </w:pPr>
            <w:r>
              <w:rPr>
                <w:rFonts w:ascii="Times New Roman" w:cs="Times New Roman" w:eastAsia="Times New Roman" w:hAnsi="Times New Roman"/>
                <w:sz w:val="9"/>
                <w:szCs w:val="9"/>
                <w:b w:val="1"/>
                <w:bCs w:val="1"/>
                <w:color w:val="auto"/>
              </w:rPr>
              <w:t>As of</w:t>
            </w:r>
          </w:p>
        </w:tc>
        <w:tc>
          <w:tcPr>
            <w:tcW w:w="10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00" w:type="dxa"/>
            <w:vAlign w:val="bottom"/>
            <w:tcBorders>
              <w:top w:val="single" w:sz="8" w:color="auto"/>
            </w:tcBorders>
            <w:gridSpan w:val="2"/>
          </w:tcPr>
          <w:p>
            <w:pPr>
              <w:jc w:val="center"/>
              <w:ind w:right="120"/>
              <w:spacing w:after="0" w:line="86" w:lineRule="exact"/>
              <w:rPr>
                <w:sz w:val="20"/>
                <w:szCs w:val="20"/>
                <w:color w:val="auto"/>
              </w:rPr>
            </w:pPr>
            <w:r>
              <w:rPr>
                <w:rFonts w:ascii="Times New Roman" w:cs="Times New Roman" w:eastAsia="Times New Roman" w:hAnsi="Times New Roman"/>
                <w:sz w:val="9"/>
                <w:szCs w:val="9"/>
                <w:b w:val="1"/>
                <w:bCs w:val="1"/>
                <w:color w:val="auto"/>
              </w:rPr>
              <w:t>As of</w:t>
            </w:r>
          </w:p>
        </w:tc>
        <w:tc>
          <w:tcPr>
            <w:tcW w:w="1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40" w:type="dxa"/>
            <w:vAlign w:val="bottom"/>
            <w:tcBorders>
              <w:left w:val="single" w:sz="8" w:color="auto"/>
            </w:tcBorders>
          </w:tcPr>
          <w:p>
            <w:pPr>
              <w:spacing w:after="0"/>
              <w:rPr>
                <w:sz w:val="9"/>
                <w:szCs w:val="9"/>
                <w:color w:val="auto"/>
              </w:rPr>
            </w:pPr>
          </w:p>
        </w:tc>
        <w:tc>
          <w:tcPr>
            <w:tcW w:w="364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(Amounts in millions)</w:t>
            </w: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3"/>
          </w:tcPr>
          <w:p>
            <w:pPr>
              <w:jc w:val="center"/>
              <w:ind w:right="118"/>
              <w:spacing w:after="0" w:line="115" w:lineRule="exact"/>
              <w:rPr>
                <w:sz w:val="20"/>
                <w:szCs w:val="20"/>
                <w:color w:val="auto"/>
              </w:rPr>
            </w:pPr>
            <w:r>
              <w:rPr>
                <w:rFonts w:ascii="Times New Roman" w:cs="Times New Roman" w:eastAsia="Times New Roman" w:hAnsi="Times New Roman"/>
                <w:sz w:val="11"/>
                <w:szCs w:val="11"/>
                <w:b w:val="1"/>
                <w:bCs w:val="1"/>
                <w:color w:val="auto"/>
                <w:w w:val="99"/>
              </w:rPr>
              <w:t>March 28,</w:t>
            </w: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gridSpan w:val="6"/>
          </w:tcPr>
          <w:p>
            <w:pPr>
              <w:jc w:val="center"/>
              <w:ind w:right="520"/>
              <w:spacing w:after="0" w:line="115" w:lineRule="exact"/>
              <w:rPr>
                <w:sz w:val="20"/>
                <w:szCs w:val="20"/>
                <w:color w:val="auto"/>
              </w:rPr>
            </w:pPr>
            <w:r>
              <w:rPr>
                <w:rFonts w:ascii="Times New Roman" w:cs="Times New Roman" w:eastAsia="Times New Roman" w:hAnsi="Times New Roman"/>
                <w:sz w:val="11"/>
                <w:szCs w:val="11"/>
                <w:b w:val="1"/>
                <w:bCs w:val="1"/>
                <w:color w:val="auto"/>
                <w:w w:val="99"/>
              </w:rPr>
              <w:t>December 31,</w:t>
            </w:r>
          </w:p>
        </w:tc>
        <w:tc>
          <w:tcPr>
            <w:tcW w:w="100" w:type="dxa"/>
            <w:vAlign w:val="bottom"/>
          </w:tcPr>
          <w:p>
            <w:pPr>
              <w:spacing w:after="0"/>
              <w:rPr>
                <w:sz w:val="9"/>
                <w:szCs w:val="9"/>
                <w:color w:val="auto"/>
              </w:rPr>
            </w:pPr>
          </w:p>
        </w:tc>
        <w:tc>
          <w:tcPr>
            <w:tcW w:w="860" w:type="dxa"/>
            <w:vAlign w:val="bottom"/>
            <w:tcBorders>
              <w:right w:val="single" w:sz="8" w:color="auto"/>
            </w:tcBorders>
            <w:gridSpan w:val="4"/>
          </w:tcPr>
          <w:p>
            <w:pPr>
              <w:jc w:val="center"/>
              <w:ind w:right="180"/>
              <w:spacing w:after="0" w:line="115" w:lineRule="exact"/>
              <w:rPr>
                <w:sz w:val="20"/>
                <w:szCs w:val="20"/>
                <w:color w:val="auto"/>
              </w:rPr>
            </w:pPr>
            <w:r>
              <w:rPr>
                <w:rFonts w:ascii="Times New Roman" w:cs="Times New Roman" w:eastAsia="Times New Roman" w:hAnsi="Times New Roman"/>
                <w:sz w:val="11"/>
                <w:szCs w:val="11"/>
                <w:b w:val="1"/>
                <w:bCs w:val="1"/>
                <w:color w:val="auto"/>
                <w:w w:val="99"/>
              </w:rPr>
              <w:t>December 31,</w:t>
            </w:r>
          </w:p>
        </w:tc>
        <w:tc>
          <w:tcPr>
            <w:tcW w:w="0" w:type="dxa"/>
            <w:vAlign w:val="bottom"/>
          </w:tcPr>
          <w:p>
            <w:pPr>
              <w:spacing w:after="0"/>
              <w:rPr>
                <w:sz w:val="1"/>
                <w:szCs w:val="1"/>
                <w:color w:val="auto"/>
              </w:rPr>
            </w:pPr>
          </w:p>
        </w:tc>
      </w:tr>
      <w:tr>
        <w:trPr>
          <w:trHeight w:val="134"/>
        </w:trPr>
        <w:tc>
          <w:tcPr>
            <w:tcW w:w="140" w:type="dxa"/>
            <w:vAlign w:val="bottom"/>
            <w:tcBorders>
              <w:left w:val="single" w:sz="8" w:color="auto"/>
            </w:tcBorders>
          </w:tcPr>
          <w:p>
            <w:pPr>
              <w:spacing w:after="0"/>
              <w:rPr>
                <w:sz w:val="11"/>
                <w:szCs w:val="11"/>
                <w:color w:val="auto"/>
              </w:rPr>
            </w:pPr>
          </w:p>
        </w:tc>
        <w:tc>
          <w:tcPr>
            <w:tcW w:w="3640" w:type="dxa"/>
            <w:vAlign w:val="bottom"/>
            <w:tcBorders>
              <w:bottom w:val="single" w:sz="8" w:color="CCEEFF"/>
            </w:tcBorders>
            <w:vMerge w:val="continue"/>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00" w:type="dxa"/>
            <w:vAlign w:val="bottom"/>
            <w:tcBorders>
              <w:bottom w:val="single" w:sz="8" w:color="CCEEFF"/>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center"/>
              <w:ind w:left="194"/>
              <w:spacing w:after="0"/>
              <w:rPr>
                <w:sz w:val="20"/>
                <w:szCs w:val="20"/>
                <w:color w:val="auto"/>
              </w:rPr>
            </w:pPr>
            <w:r>
              <w:rPr>
                <w:rFonts w:ascii="Times New Roman" w:cs="Times New Roman" w:eastAsia="Times New Roman" w:hAnsi="Times New Roman"/>
                <w:sz w:val="11"/>
                <w:szCs w:val="11"/>
                <w:b w:val="1"/>
                <w:bCs w:val="1"/>
                <w:color w:val="auto"/>
                <w:w w:val="99"/>
              </w:rPr>
              <w:t>2026</w:t>
            </w:r>
          </w:p>
        </w:tc>
        <w:tc>
          <w:tcPr>
            <w:tcW w:w="28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50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gridSpan w:val="3"/>
          </w:tcPr>
          <w:p>
            <w:pPr>
              <w:jc w:val="center"/>
              <w:ind w:right="92"/>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240" w:type="dxa"/>
            <w:vAlign w:val="bottom"/>
            <w:tcBorders>
              <w:bottom w:val="single" w:sz="8" w:color="CCEEFF"/>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60" w:type="dxa"/>
            <w:vAlign w:val="bottom"/>
            <w:tcBorders>
              <w:bottom w:val="single" w:sz="8" w:color="auto"/>
            </w:tcBorders>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40" w:type="dxa"/>
            <w:vAlign w:val="bottom"/>
            <w:tcBorders>
              <w:left w:val="single" w:sz="8" w:color="auto"/>
            </w:tcBorders>
          </w:tcPr>
          <w:p>
            <w:pPr>
              <w:spacing w:after="0"/>
              <w:rPr>
                <w:sz w:val="12"/>
                <w:szCs w:val="12"/>
                <w:color w:val="auto"/>
              </w:rPr>
            </w:pPr>
          </w:p>
        </w:tc>
        <w:tc>
          <w:tcPr>
            <w:tcW w:w="36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Summary Balance Sheet Data:</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40" w:type="dxa"/>
            <w:vAlign w:val="bottom"/>
            <w:tcBorders>
              <w:left w:val="single" w:sz="8" w:color="auto"/>
            </w:tcBorders>
          </w:tcPr>
          <w:p>
            <w:pPr>
              <w:spacing w:after="0"/>
              <w:rPr>
                <w:sz w:val="14"/>
                <w:szCs w:val="14"/>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spacing w:after="0"/>
              <w:rPr>
                <w:sz w:val="14"/>
                <w:szCs w:val="14"/>
                <w:color w:val="auto"/>
              </w:rPr>
            </w:pPr>
          </w:p>
        </w:tc>
        <w:tc>
          <w:tcPr>
            <w:tcW w:w="420" w:type="dxa"/>
            <w:vAlign w:val="bottom"/>
            <w:gridSpan w:val="2"/>
          </w:tcPr>
          <w:p>
            <w:pPr>
              <w:jc w:val="right"/>
              <w:ind w:right="38"/>
              <w:spacing w:after="0"/>
              <w:rPr>
                <w:sz w:val="20"/>
                <w:szCs w:val="20"/>
                <w:color w:val="auto"/>
              </w:rPr>
            </w:pPr>
            <w:r>
              <w:rPr>
                <w:rFonts w:ascii="Times New Roman" w:cs="Times New Roman" w:eastAsia="Times New Roman" w:hAnsi="Times New Roman"/>
                <w:sz w:val="14"/>
                <w:szCs w:val="14"/>
                <w:color w:val="auto"/>
                <w:w w:val="95"/>
              </w:rPr>
              <w:t>2,236</w:t>
            </w:r>
          </w:p>
        </w:tc>
        <w:tc>
          <w:tcPr>
            <w:tcW w:w="680" w:type="dxa"/>
            <w:vAlign w:val="bottom"/>
            <w:gridSpan w:val="3"/>
          </w:tcPr>
          <w:p>
            <w:pPr>
              <w:jc w:val="right"/>
              <w:ind w:right="25"/>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185"/>
              <w:spacing w:after="0"/>
              <w:rPr>
                <w:sz w:val="20"/>
                <w:szCs w:val="20"/>
                <w:color w:val="auto"/>
              </w:rPr>
            </w:pPr>
            <w:r>
              <w:rPr>
                <w:rFonts w:ascii="Times New Roman" w:cs="Times New Roman" w:eastAsia="Times New Roman" w:hAnsi="Times New Roman"/>
                <w:sz w:val="14"/>
                <w:szCs w:val="14"/>
                <w:color w:val="auto"/>
                <w:w w:val="95"/>
              </w:rPr>
              <w:t>1,939</w:t>
            </w:r>
          </w:p>
        </w:tc>
        <w:tc>
          <w:tcPr>
            <w:tcW w:w="28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199</w:t>
            </w:r>
          </w:p>
        </w:tc>
        <w:tc>
          <w:tcPr>
            <w:tcW w:w="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0" w:type="dxa"/>
            <w:vAlign w:val="bottom"/>
            <w:tcBorders>
              <w:left w:val="single" w:sz="8" w:color="auto"/>
            </w:tcBorders>
          </w:tcPr>
          <w:p>
            <w:pPr>
              <w:spacing w:after="0"/>
              <w:rPr>
                <w:sz w:val="14"/>
                <w:szCs w:val="14"/>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ind w:right="38"/>
              <w:spacing w:after="0"/>
              <w:rPr>
                <w:sz w:val="20"/>
                <w:szCs w:val="20"/>
                <w:color w:val="auto"/>
              </w:rPr>
            </w:pPr>
            <w:r>
              <w:rPr>
                <w:rFonts w:ascii="Times New Roman" w:cs="Times New Roman" w:eastAsia="Times New Roman" w:hAnsi="Times New Roman"/>
                <w:sz w:val="14"/>
                <w:szCs w:val="14"/>
                <w:color w:val="auto"/>
              </w:rPr>
              <w:t>39,014</w:t>
            </w: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4"/>
            <w:shd w:val="clear" w:color="auto" w:fill="CCEEFF"/>
          </w:tcPr>
          <w:p>
            <w:pPr>
              <w:jc w:val="right"/>
              <w:ind w:right="185"/>
              <w:spacing w:after="0"/>
              <w:rPr>
                <w:sz w:val="20"/>
                <w:szCs w:val="20"/>
                <w:color w:val="auto"/>
              </w:rPr>
            </w:pPr>
            <w:r>
              <w:rPr>
                <w:rFonts w:ascii="Times New Roman" w:cs="Times New Roman" w:eastAsia="Times New Roman" w:hAnsi="Times New Roman"/>
                <w:sz w:val="14"/>
                <w:szCs w:val="14"/>
                <w:color w:val="auto"/>
              </w:rPr>
              <w:t>38,484</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35,978</w:t>
            </w:r>
          </w:p>
        </w:tc>
        <w:tc>
          <w:tcPr>
            <w:tcW w:w="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0" w:type="dxa"/>
            <w:vAlign w:val="bottom"/>
            <w:tcBorders>
              <w:left w:val="single" w:sz="8" w:color="auto"/>
            </w:tcBorders>
          </w:tcPr>
          <w:p>
            <w:pPr>
              <w:spacing w:after="0"/>
              <w:rPr>
                <w:sz w:val="14"/>
                <w:szCs w:val="14"/>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4"/>
                <w:szCs w:val="14"/>
                <w:color w:val="auto"/>
              </w:rPr>
              <w:t>Total liabilities</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right"/>
              <w:ind w:right="38"/>
              <w:spacing w:after="0"/>
              <w:rPr>
                <w:sz w:val="20"/>
                <w:szCs w:val="20"/>
                <w:color w:val="auto"/>
              </w:rPr>
            </w:pPr>
            <w:r>
              <w:rPr>
                <w:rFonts w:ascii="Times New Roman" w:cs="Times New Roman" w:eastAsia="Times New Roman" w:hAnsi="Times New Roman"/>
                <w:sz w:val="14"/>
                <w:szCs w:val="14"/>
                <w:color w:val="auto"/>
              </w:rPr>
              <w:t>19,665</w:t>
            </w: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4"/>
          </w:tcPr>
          <w:p>
            <w:pPr>
              <w:jc w:val="right"/>
              <w:ind w:right="185"/>
              <w:spacing w:after="0"/>
              <w:rPr>
                <w:sz w:val="20"/>
                <w:szCs w:val="20"/>
                <w:color w:val="auto"/>
              </w:rPr>
            </w:pPr>
            <w:r>
              <w:rPr>
                <w:rFonts w:ascii="Times New Roman" w:cs="Times New Roman" w:eastAsia="Times New Roman" w:hAnsi="Times New Roman"/>
                <w:sz w:val="14"/>
                <w:szCs w:val="14"/>
                <w:color w:val="auto"/>
              </w:rPr>
              <w:t>19,198</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19,454</w:t>
            </w:r>
          </w:p>
        </w:tc>
        <w:tc>
          <w:tcPr>
            <w:tcW w:w="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0" w:type="dxa"/>
            <w:vAlign w:val="bottom"/>
            <w:tcBorders>
              <w:left w:val="single" w:sz="8" w:color="auto"/>
            </w:tcBorders>
          </w:tcPr>
          <w:p>
            <w:pPr>
              <w:spacing w:after="0"/>
              <w:rPr>
                <w:sz w:val="14"/>
                <w:szCs w:val="14"/>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mezzanine equity</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366</w:t>
            </w:r>
          </w:p>
        </w:tc>
        <w:tc>
          <w:tcPr>
            <w:tcW w:w="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40" w:type="dxa"/>
            <w:vAlign w:val="bottom"/>
            <w:tcBorders>
              <w:left w:val="single" w:sz="8" w:color="auto"/>
            </w:tcBorders>
          </w:tcPr>
          <w:p>
            <w:pPr>
              <w:spacing w:after="0"/>
              <w:rPr>
                <w:sz w:val="15"/>
                <w:szCs w:val="15"/>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4"/>
                <w:szCs w:val="14"/>
                <w:color w:val="auto"/>
              </w:rPr>
              <w:t>Total stockholders’ equity / partners’ capital</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3"/>
          </w:tcPr>
          <w:p>
            <w:pPr>
              <w:jc w:val="right"/>
              <w:ind w:right="38"/>
              <w:spacing w:after="0"/>
              <w:rPr>
                <w:sz w:val="20"/>
                <w:szCs w:val="20"/>
                <w:color w:val="auto"/>
              </w:rPr>
            </w:pPr>
            <w:r>
              <w:rPr>
                <w:rFonts w:ascii="Times New Roman" w:cs="Times New Roman" w:eastAsia="Times New Roman" w:hAnsi="Times New Roman"/>
                <w:sz w:val="14"/>
                <w:szCs w:val="14"/>
                <w:color w:val="auto"/>
              </w:rPr>
              <w:t>19,349</w:t>
            </w: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4"/>
          </w:tcPr>
          <w:p>
            <w:pPr>
              <w:jc w:val="right"/>
              <w:ind w:right="185"/>
              <w:spacing w:after="0"/>
              <w:rPr>
                <w:sz w:val="20"/>
                <w:szCs w:val="20"/>
                <w:color w:val="auto"/>
              </w:rPr>
            </w:pPr>
            <w:r>
              <w:rPr>
                <w:rFonts w:ascii="Times New Roman" w:cs="Times New Roman" w:eastAsia="Times New Roman" w:hAnsi="Times New Roman"/>
                <w:sz w:val="14"/>
                <w:szCs w:val="14"/>
                <w:color w:val="auto"/>
              </w:rPr>
              <w:t>19,286</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16,158</w:t>
            </w:r>
          </w:p>
        </w:tc>
        <w:tc>
          <w:tcPr>
            <w:tcW w:w="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140" w:type="dxa"/>
            <w:vAlign w:val="bottom"/>
            <w:tcBorders>
              <w:left w:val="single" w:sz="8" w:color="auto"/>
              <w:bottom w:val="single" w:sz="8" w:color="auto"/>
            </w:tcBorders>
          </w:tcPr>
          <w:p>
            <w:pPr>
              <w:spacing w:after="0"/>
              <w:rPr>
                <w:sz w:val="10"/>
                <w:szCs w:val="10"/>
                <w:color w:val="auto"/>
              </w:rPr>
            </w:pPr>
          </w:p>
        </w:tc>
        <w:tc>
          <w:tcPr>
            <w:tcW w:w="36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6"/>
        </w:trPr>
        <w:tc>
          <w:tcPr>
            <w:tcW w:w="1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ind w:right="73"/>
              <w:spacing w:after="0"/>
              <w:rPr>
                <w:sz w:val="20"/>
                <w:szCs w:val="20"/>
                <w:color w:val="auto"/>
              </w:rPr>
            </w:pPr>
            <w:r>
              <w:rPr>
                <w:rFonts w:ascii="Times New Roman" w:cs="Times New Roman" w:eastAsia="Times New Roman" w:hAnsi="Times New Roman"/>
                <w:sz w:val="14"/>
                <w:szCs w:val="14"/>
                <w:color w:val="auto"/>
              </w:rPr>
              <w:t>25</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3"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46012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393690" cy="4601210"/>
                    </a:xfrm>
                    <a:prstGeom prst="rect">
                      <a:avLst/>
                    </a:prstGeom>
                    <a:noFill/>
                  </pic:spPr>
                </pic:pic>
              </a:graphicData>
            </a:graphic>
          </wp:anchor>
        </w:drawing>
      </w:r>
    </w:p>
    <w:p>
      <w:pPr>
        <w:spacing w:after="0" w:line="357" w:lineRule="exact"/>
        <w:rPr>
          <w:sz w:val="20"/>
          <w:szCs w:val="20"/>
          <w:color w:val="auto"/>
        </w:rPr>
      </w:pPr>
    </w:p>
    <w:tbl>
      <w:tblPr>
        <w:tblLayout w:type="fixed"/>
        <w:tblInd w:w="1540" w:type="dxa"/>
        <w:tblCellMar>
          <w:top w:w="0" w:type="dxa"/>
          <w:left w:w="0" w:type="dxa"/>
          <w:bottom w:w="0" w:type="dxa"/>
          <w:right w:w="0" w:type="dxa"/>
        </w:tblCellMar>
      </w:tblPr>
      <w:tr>
        <w:trPr>
          <w:trHeight w:val="134"/>
        </w:trPr>
        <w:tc>
          <w:tcPr>
            <w:tcW w:w="3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40" w:type="dxa"/>
            <w:vAlign w:val="bottom"/>
            <w:tcBorders>
              <w:bottom w:val="single" w:sz="8" w:color="auto"/>
            </w:tcBorders>
            <w:gridSpan w:val="9"/>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Unaudited Historical</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8"/>
              </w:rPr>
              <w:t>Historical</w:t>
            </w: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3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gridSpan w:val="5"/>
          </w:tcPr>
          <w:p>
            <w:pPr>
              <w:jc w:val="center"/>
              <w:ind w:right="56"/>
              <w:spacing w:after="0" w:line="86" w:lineRule="exact"/>
              <w:rPr>
                <w:sz w:val="20"/>
                <w:szCs w:val="20"/>
                <w:color w:val="auto"/>
              </w:rPr>
            </w:pPr>
            <w:r>
              <w:rPr>
                <w:rFonts w:ascii="Times New Roman" w:cs="Times New Roman" w:eastAsia="Times New Roman" w:hAnsi="Times New Roman"/>
                <w:sz w:val="9"/>
                <w:szCs w:val="9"/>
                <w:b w:val="1"/>
                <w:bCs w:val="1"/>
                <w:color w:val="auto"/>
              </w:rPr>
              <w:t>Three Months</w:t>
            </w:r>
          </w:p>
        </w:tc>
        <w:tc>
          <w:tcPr>
            <w:tcW w:w="180" w:type="dxa"/>
            <w:vAlign w:val="bottom"/>
          </w:tcPr>
          <w:p>
            <w:pPr>
              <w:spacing w:after="0"/>
              <w:rPr>
                <w:sz w:val="7"/>
                <w:szCs w:val="7"/>
                <w:color w:val="auto"/>
              </w:rPr>
            </w:pPr>
          </w:p>
        </w:tc>
        <w:tc>
          <w:tcPr>
            <w:tcW w:w="680" w:type="dxa"/>
            <w:vAlign w:val="bottom"/>
            <w:gridSpan w:val="3"/>
          </w:tcPr>
          <w:p>
            <w:pPr>
              <w:jc w:val="center"/>
              <w:spacing w:after="0" w:line="86" w:lineRule="exact"/>
              <w:rPr>
                <w:sz w:val="20"/>
                <w:szCs w:val="20"/>
                <w:color w:val="auto"/>
              </w:rPr>
            </w:pPr>
            <w:r>
              <w:rPr>
                <w:rFonts w:ascii="Times New Roman" w:cs="Times New Roman" w:eastAsia="Times New Roman" w:hAnsi="Times New Roman"/>
                <w:sz w:val="9"/>
                <w:szCs w:val="9"/>
                <w:b w:val="1"/>
                <w:bCs w:val="1"/>
                <w:color w:val="auto"/>
              </w:rPr>
              <w:t>Three Months</w:t>
            </w: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8"/>
              </w:rPr>
              <w:t>Year Ended</w:t>
            </w:r>
          </w:p>
        </w:tc>
        <w:tc>
          <w:tcPr>
            <w:tcW w:w="140" w:type="dxa"/>
            <w:vAlign w:val="bottom"/>
          </w:tcPr>
          <w:p>
            <w:pPr>
              <w:spacing w:after="0"/>
              <w:rPr>
                <w:sz w:val="7"/>
                <w:szCs w:val="7"/>
                <w:color w:val="auto"/>
              </w:rPr>
            </w:pPr>
          </w:p>
        </w:tc>
        <w:tc>
          <w:tcPr>
            <w:tcW w:w="86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Year Ended</w:t>
            </w:r>
          </w:p>
        </w:tc>
        <w:tc>
          <w:tcPr>
            <w:tcW w:w="60" w:type="dxa"/>
            <w:vAlign w:val="bottom"/>
          </w:tcPr>
          <w:p>
            <w:pPr>
              <w:spacing w:after="0"/>
              <w:rPr>
                <w:sz w:val="7"/>
                <w:szCs w:val="7"/>
                <w:color w:val="auto"/>
              </w:rPr>
            </w:pPr>
          </w:p>
        </w:tc>
        <w:tc>
          <w:tcPr>
            <w:tcW w:w="80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Year Ended</w:t>
            </w:r>
          </w:p>
        </w:tc>
        <w:tc>
          <w:tcPr>
            <w:tcW w:w="0" w:type="dxa"/>
            <w:vAlign w:val="bottom"/>
          </w:tcPr>
          <w:p>
            <w:pPr>
              <w:spacing w:after="0"/>
              <w:rPr>
                <w:sz w:val="1"/>
                <w:szCs w:val="1"/>
                <w:color w:val="auto"/>
              </w:rPr>
            </w:pPr>
          </w:p>
        </w:tc>
      </w:tr>
      <w:tr>
        <w:trPr>
          <w:trHeight w:val="114"/>
        </w:trPr>
        <w:tc>
          <w:tcPr>
            <w:tcW w:w="3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gridSpan w:val="5"/>
          </w:tcPr>
          <w:p>
            <w:pPr>
              <w:jc w:val="center"/>
              <w:ind w:right="36"/>
              <w:spacing w:after="0" w:line="115" w:lineRule="exact"/>
              <w:rPr>
                <w:sz w:val="20"/>
                <w:szCs w:val="20"/>
                <w:color w:val="auto"/>
              </w:rPr>
            </w:pPr>
            <w:r>
              <w:rPr>
                <w:rFonts w:ascii="Times New Roman" w:cs="Times New Roman" w:eastAsia="Times New Roman" w:hAnsi="Times New Roman"/>
                <w:sz w:val="11"/>
                <w:szCs w:val="11"/>
                <w:b w:val="1"/>
                <w:bCs w:val="1"/>
                <w:color w:val="auto"/>
                <w:w w:val="97"/>
              </w:rPr>
              <w:t>Ended</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3"/>
          </w:tcPr>
          <w:p>
            <w:pPr>
              <w:jc w:val="center"/>
              <w:ind w:right="160"/>
              <w:spacing w:after="0" w:line="115" w:lineRule="exact"/>
              <w:rPr>
                <w:sz w:val="20"/>
                <w:szCs w:val="20"/>
                <w:color w:val="auto"/>
              </w:rPr>
            </w:pPr>
            <w:r>
              <w:rPr>
                <w:rFonts w:ascii="Times New Roman" w:cs="Times New Roman" w:eastAsia="Times New Roman" w:hAnsi="Times New Roman"/>
                <w:sz w:val="11"/>
                <w:szCs w:val="11"/>
                <w:b w:val="1"/>
                <w:bCs w:val="1"/>
                <w:color w:val="auto"/>
              </w:rPr>
              <w:t>Ended</w:t>
            </w:r>
          </w:p>
        </w:tc>
        <w:tc>
          <w:tcPr>
            <w:tcW w:w="200" w:type="dxa"/>
            <w:vAlign w:val="bottom"/>
          </w:tcPr>
          <w:p>
            <w:pPr>
              <w:spacing w:after="0"/>
              <w:rPr>
                <w:sz w:val="9"/>
                <w:szCs w:val="9"/>
                <w:color w:val="auto"/>
              </w:rPr>
            </w:pPr>
          </w:p>
        </w:tc>
        <w:tc>
          <w:tcPr>
            <w:tcW w:w="78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gridSpan w:val="4"/>
            <w:vMerge w:val="continue"/>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3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(Amounts in millions)</w:t>
            </w: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gridSpan w:val="5"/>
          </w:tcPr>
          <w:p>
            <w:pPr>
              <w:jc w:val="center"/>
              <w:ind w:right="56"/>
              <w:spacing w:after="0" w:line="115" w:lineRule="exact"/>
              <w:rPr>
                <w:sz w:val="20"/>
                <w:szCs w:val="20"/>
                <w:color w:val="auto"/>
              </w:rPr>
            </w:pPr>
            <w:r>
              <w:rPr>
                <w:rFonts w:ascii="Times New Roman" w:cs="Times New Roman" w:eastAsia="Times New Roman" w:hAnsi="Times New Roman"/>
                <w:sz w:val="11"/>
                <w:szCs w:val="11"/>
                <w:b w:val="1"/>
                <w:bCs w:val="1"/>
                <w:color w:val="auto"/>
                <w:w w:val="99"/>
              </w:rPr>
              <w:t>March 28,</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3"/>
          </w:tcPr>
          <w:p>
            <w:pPr>
              <w:jc w:val="center"/>
              <w:ind w:right="160"/>
              <w:spacing w:after="0" w:line="115" w:lineRule="exact"/>
              <w:rPr>
                <w:sz w:val="20"/>
                <w:szCs w:val="20"/>
                <w:color w:val="auto"/>
              </w:rPr>
            </w:pPr>
            <w:r>
              <w:rPr>
                <w:rFonts w:ascii="Times New Roman" w:cs="Times New Roman" w:eastAsia="Times New Roman" w:hAnsi="Times New Roman"/>
                <w:sz w:val="11"/>
                <w:szCs w:val="11"/>
                <w:b w:val="1"/>
                <w:bCs w:val="1"/>
                <w:color w:val="auto"/>
                <w:w w:val="99"/>
              </w:rPr>
              <w:t>March 29,</w:t>
            </w:r>
          </w:p>
        </w:tc>
        <w:tc>
          <w:tcPr>
            <w:tcW w:w="200" w:type="dxa"/>
            <w:vAlign w:val="bottom"/>
          </w:tcPr>
          <w:p>
            <w:pPr>
              <w:spacing w:after="0"/>
              <w:rPr>
                <w:sz w:val="9"/>
                <w:szCs w:val="9"/>
                <w:color w:val="auto"/>
              </w:rPr>
            </w:pPr>
          </w:p>
        </w:tc>
        <w:tc>
          <w:tcPr>
            <w:tcW w:w="780" w:type="dxa"/>
            <w:vAlign w:val="bottom"/>
            <w:gridSpan w:val="3"/>
          </w:tcPr>
          <w:p>
            <w:pPr>
              <w:jc w:val="center"/>
              <w:ind w:right="140"/>
              <w:spacing w:after="0" w:line="115" w:lineRule="exact"/>
              <w:rPr>
                <w:sz w:val="20"/>
                <w:szCs w:val="20"/>
                <w:color w:val="auto"/>
              </w:rPr>
            </w:pPr>
            <w:r>
              <w:rPr>
                <w:rFonts w:ascii="Times New Roman" w:cs="Times New Roman" w:eastAsia="Times New Roman" w:hAnsi="Times New Roman"/>
                <w:sz w:val="11"/>
                <w:szCs w:val="11"/>
                <w:b w:val="1"/>
                <w:bCs w:val="1"/>
                <w:color w:val="auto"/>
                <w:w w:val="99"/>
              </w:rPr>
              <w:t>December 31,</w:t>
            </w:r>
          </w:p>
        </w:tc>
        <w:tc>
          <w:tcPr>
            <w:tcW w:w="140" w:type="dxa"/>
            <w:vAlign w:val="bottom"/>
          </w:tcPr>
          <w:p>
            <w:pPr>
              <w:spacing w:after="0"/>
              <w:rPr>
                <w:sz w:val="9"/>
                <w:szCs w:val="9"/>
                <w:color w:val="auto"/>
              </w:rPr>
            </w:pPr>
          </w:p>
        </w:tc>
        <w:tc>
          <w:tcPr>
            <w:tcW w:w="860" w:type="dxa"/>
            <w:vAlign w:val="bottom"/>
            <w:gridSpan w:val="4"/>
          </w:tcPr>
          <w:p>
            <w:pPr>
              <w:jc w:val="center"/>
              <w:ind w:right="220"/>
              <w:spacing w:after="0" w:line="115" w:lineRule="exact"/>
              <w:rPr>
                <w:sz w:val="20"/>
                <w:szCs w:val="20"/>
                <w:color w:val="auto"/>
              </w:rPr>
            </w:pPr>
            <w:r>
              <w:rPr>
                <w:rFonts w:ascii="Times New Roman" w:cs="Times New Roman" w:eastAsia="Times New Roman" w:hAnsi="Times New Roman"/>
                <w:sz w:val="11"/>
                <w:szCs w:val="11"/>
                <w:b w:val="1"/>
                <w:bCs w:val="1"/>
                <w:color w:val="auto"/>
                <w:w w:val="99"/>
              </w:rPr>
              <w:t>December 31,</w:t>
            </w:r>
          </w:p>
        </w:tc>
        <w:tc>
          <w:tcPr>
            <w:tcW w:w="60" w:type="dxa"/>
            <w:vAlign w:val="bottom"/>
          </w:tcPr>
          <w:p>
            <w:pPr>
              <w:spacing w:after="0"/>
              <w:rPr>
                <w:sz w:val="9"/>
                <w:szCs w:val="9"/>
                <w:color w:val="auto"/>
              </w:rPr>
            </w:pPr>
          </w:p>
        </w:tc>
        <w:tc>
          <w:tcPr>
            <w:tcW w:w="800" w:type="dxa"/>
            <w:vAlign w:val="bottom"/>
            <w:gridSpan w:val="4"/>
          </w:tcPr>
          <w:p>
            <w:pPr>
              <w:jc w:val="center"/>
              <w:ind w:right="120"/>
              <w:spacing w:after="0" w:line="115" w:lineRule="exact"/>
              <w:rPr>
                <w:sz w:val="20"/>
                <w:szCs w:val="20"/>
                <w:color w:val="auto"/>
              </w:rPr>
            </w:pPr>
            <w:r>
              <w:rPr>
                <w:rFonts w:ascii="Times New Roman" w:cs="Times New Roman" w:eastAsia="Times New Roman" w:hAnsi="Times New Roman"/>
                <w:sz w:val="11"/>
                <w:szCs w:val="11"/>
                <w:b w:val="1"/>
                <w:bCs w:val="1"/>
                <w:color w:val="auto"/>
                <w:w w:val="99"/>
              </w:rPr>
              <w:t>December 31,</w:t>
            </w:r>
          </w:p>
        </w:tc>
        <w:tc>
          <w:tcPr>
            <w:tcW w:w="0" w:type="dxa"/>
            <w:vAlign w:val="bottom"/>
          </w:tcPr>
          <w:p>
            <w:pPr>
              <w:spacing w:after="0"/>
              <w:rPr>
                <w:sz w:val="1"/>
                <w:szCs w:val="1"/>
                <w:color w:val="auto"/>
              </w:rPr>
            </w:pPr>
          </w:p>
        </w:tc>
      </w:tr>
      <w:tr>
        <w:trPr>
          <w:trHeight w:val="134"/>
        </w:trPr>
        <w:tc>
          <w:tcPr>
            <w:tcW w:w="33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4"/>
          </w:tcPr>
          <w:p>
            <w:pPr>
              <w:jc w:val="center"/>
              <w:ind w:left="195"/>
              <w:spacing w:after="0"/>
              <w:rPr>
                <w:sz w:val="20"/>
                <w:szCs w:val="20"/>
                <w:color w:val="auto"/>
              </w:rPr>
            </w:pPr>
            <w:r>
              <w:rPr>
                <w:rFonts w:ascii="Times New Roman" w:cs="Times New Roman" w:eastAsia="Times New Roman" w:hAnsi="Times New Roman"/>
                <w:sz w:val="11"/>
                <w:szCs w:val="11"/>
                <w:b w:val="1"/>
                <w:bCs w:val="1"/>
                <w:color w:val="auto"/>
                <w:w w:val="99"/>
              </w:rPr>
              <w:t>2026</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80" w:type="dxa"/>
            <w:vAlign w:val="bottom"/>
          </w:tcPr>
          <w:p>
            <w:pPr>
              <w:spacing w:after="0"/>
              <w:rPr>
                <w:sz w:val="11"/>
                <w:szCs w:val="11"/>
                <w:color w:val="auto"/>
              </w:rPr>
            </w:pPr>
          </w:p>
        </w:tc>
        <w:tc>
          <w:tcPr>
            <w:tcW w:w="640" w:type="dxa"/>
            <w:vAlign w:val="bottom"/>
            <w:gridSpan w:val="2"/>
          </w:tcPr>
          <w:p>
            <w:pPr>
              <w:jc w:val="center"/>
              <w:ind w:left="355"/>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center"/>
              <w:ind w:left="14"/>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320" w:type="dxa"/>
            <w:vAlign w:val="bottom"/>
            <w:tcBorders>
              <w:top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Summary Statements of Cash Flows Data:</w:t>
            </w: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80" w:type="dxa"/>
            <w:vAlign w:val="bottom"/>
          </w:tcPr>
          <w:p>
            <w:pPr>
              <w:spacing w:after="0"/>
              <w:rPr>
                <w:sz w:val="14"/>
                <w:szCs w:val="14"/>
                <w:color w:val="auto"/>
              </w:rPr>
            </w:pPr>
          </w:p>
        </w:tc>
        <w:tc>
          <w:tcPr>
            <w:tcW w:w="600" w:type="dxa"/>
            <w:vAlign w:val="bottom"/>
            <w:gridSpan w:val="2"/>
          </w:tcPr>
          <w:p>
            <w:pPr>
              <w:jc w:val="right"/>
              <w:ind w:right="227"/>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400" w:type="dxa"/>
            <w:vAlign w:val="bottom"/>
            <w:gridSpan w:val="3"/>
          </w:tcPr>
          <w:p>
            <w:pPr>
              <w:jc w:val="right"/>
              <w:ind w:right="56"/>
              <w:spacing w:after="0"/>
              <w:rPr>
                <w:sz w:val="20"/>
                <w:szCs w:val="20"/>
                <w:color w:val="auto"/>
              </w:rPr>
            </w:pPr>
            <w:r>
              <w:rPr>
                <w:rFonts w:ascii="Times New Roman" w:cs="Times New Roman" w:eastAsia="Times New Roman" w:hAnsi="Times New Roman"/>
                <w:sz w:val="14"/>
                <w:szCs w:val="14"/>
                <w:color w:val="auto"/>
                <w:w w:val="88"/>
              </w:rPr>
              <w:t>  412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  682</w:t>
            </w:r>
          </w:p>
        </w:tc>
        <w:tc>
          <w:tcPr>
            <w:tcW w:w="200" w:type="dxa"/>
            <w:vAlign w:val="bottom"/>
          </w:tcPr>
          <w:p>
            <w:pPr>
              <w:spacing w:after="0"/>
              <w:rPr>
                <w:sz w:val="14"/>
                <w:szCs w:val="14"/>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     1,744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  1,769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  1,685</w:t>
            </w:r>
          </w:p>
        </w:tc>
        <w:tc>
          <w:tcPr>
            <w:tcW w:w="0" w:type="dxa"/>
            <w:vAlign w:val="bottom"/>
          </w:tcPr>
          <w:p>
            <w:pPr>
              <w:spacing w:after="0"/>
              <w:rPr>
                <w:sz w:val="1"/>
                <w:szCs w:val="1"/>
                <w:color w:val="auto"/>
              </w:rPr>
            </w:pPr>
          </w:p>
        </w:tc>
      </w:tr>
      <w:tr>
        <w:trPr>
          <w:trHeight w:val="16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0" w:type="dxa"/>
            <w:vAlign w:val="bottom"/>
            <w:gridSpan w:val="3"/>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rPr>
              <w:t>(96)</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(92)</w:t>
            </w:r>
          </w:p>
        </w:tc>
        <w:tc>
          <w:tcPr>
            <w:tcW w:w="9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(474)</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(1,493)</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(312)</w:t>
            </w:r>
          </w:p>
        </w:tc>
        <w:tc>
          <w:tcPr>
            <w:tcW w:w="0" w:type="dxa"/>
            <w:vAlign w:val="bottom"/>
          </w:tcPr>
          <w:p>
            <w:pPr>
              <w:spacing w:after="0"/>
              <w:rPr>
                <w:sz w:val="1"/>
                <w:szCs w:val="1"/>
                <w:color w:val="auto"/>
              </w:rPr>
            </w:pPr>
          </w:p>
        </w:tc>
      </w:tr>
      <w:tr>
        <w:trPr>
          <w:trHeight w:val="181"/>
        </w:trPr>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gridSpan w:val="3"/>
          </w:tcPr>
          <w:p>
            <w:pPr>
              <w:jc w:val="right"/>
              <w:ind w:right="16"/>
              <w:spacing w:after="0"/>
              <w:rPr>
                <w:sz w:val="20"/>
                <w:szCs w:val="20"/>
                <w:color w:val="auto"/>
              </w:rPr>
            </w:pPr>
            <w:r>
              <w:rPr>
                <w:rFonts w:ascii="Times New Roman" w:cs="Times New Roman" w:eastAsia="Times New Roman" w:hAnsi="Times New Roman"/>
                <w:sz w:val="14"/>
                <w:szCs w:val="14"/>
                <w:color w:val="auto"/>
              </w:rPr>
              <w:t>(13)</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(9)</w:t>
            </w:r>
          </w:p>
        </w:tc>
        <w:tc>
          <w:tcPr>
            <w:tcW w:w="98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auto"/>
              </w:rPr>
              <w:t>399</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(1,613)</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(191)</w:t>
            </w:r>
          </w:p>
        </w:tc>
        <w:tc>
          <w:tcPr>
            <w:tcW w:w="0" w:type="dxa"/>
            <w:vAlign w:val="bottom"/>
          </w:tcPr>
          <w:p>
            <w:pPr>
              <w:spacing w:after="0"/>
              <w:rPr>
                <w:sz w:val="1"/>
                <w:szCs w:val="1"/>
                <w:color w:val="auto"/>
              </w:rPr>
            </w:pPr>
          </w:p>
        </w:tc>
      </w:tr>
      <w:tr>
        <w:trPr>
          <w:trHeight w:val="286"/>
        </w:trPr>
        <w:tc>
          <w:tcPr>
            <w:tcW w:w="33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1"/>
                <w:szCs w:val="11"/>
                <w:b w:val="1"/>
                <w:bCs w:val="1"/>
                <w:color w:val="auto"/>
              </w:rPr>
              <w:t>Unaudited Historical</w:t>
            </w:r>
          </w:p>
        </w:tc>
        <w:tc>
          <w:tcPr>
            <w:tcW w:w="34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5"/>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8"/>
              </w:rPr>
              <w:t>Historical</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3320" w:type="dxa"/>
            <w:vAlign w:val="bottom"/>
          </w:tcPr>
          <w:p>
            <w:pPr>
              <w:spacing w:after="0"/>
              <w:rPr>
                <w:sz w:val="7"/>
                <w:szCs w:val="7"/>
                <w:color w:val="auto"/>
              </w:rPr>
            </w:pPr>
          </w:p>
        </w:tc>
        <w:tc>
          <w:tcPr>
            <w:tcW w:w="700" w:type="dxa"/>
            <w:vAlign w:val="bottom"/>
            <w:gridSpan w:val="4"/>
          </w:tcPr>
          <w:p>
            <w:pPr>
              <w:jc w:val="center"/>
              <w:ind w:right="20"/>
              <w:spacing w:after="0" w:line="86" w:lineRule="exact"/>
              <w:rPr>
                <w:sz w:val="20"/>
                <w:szCs w:val="20"/>
                <w:color w:val="auto"/>
              </w:rPr>
            </w:pPr>
            <w:r>
              <w:rPr>
                <w:rFonts w:ascii="Times New Roman" w:cs="Times New Roman" w:eastAsia="Times New Roman" w:hAnsi="Times New Roman"/>
                <w:sz w:val="9"/>
                <w:szCs w:val="9"/>
                <w:b w:val="1"/>
                <w:bCs w:val="1"/>
                <w:color w:val="auto"/>
              </w:rPr>
              <w:t>Three Months</w:t>
            </w: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gridSpan w:val="4"/>
          </w:tcPr>
          <w:p>
            <w:pPr>
              <w:jc w:val="center"/>
              <w:spacing w:after="0" w:line="86" w:lineRule="exact"/>
              <w:rPr>
                <w:sz w:val="20"/>
                <w:szCs w:val="20"/>
                <w:color w:val="auto"/>
              </w:rPr>
            </w:pPr>
            <w:r>
              <w:rPr>
                <w:rFonts w:ascii="Times New Roman" w:cs="Times New Roman" w:eastAsia="Times New Roman" w:hAnsi="Times New Roman"/>
                <w:sz w:val="9"/>
                <w:szCs w:val="9"/>
                <w:b w:val="1"/>
                <w:bCs w:val="1"/>
                <w:color w:val="auto"/>
              </w:rPr>
              <w:t>Three Months</w:t>
            </w:r>
          </w:p>
        </w:tc>
        <w:tc>
          <w:tcPr>
            <w:tcW w:w="340" w:type="dxa"/>
            <w:vAlign w:val="bottom"/>
            <w:gridSpan w:val="2"/>
          </w:tcPr>
          <w:p>
            <w:pPr>
              <w:spacing w:after="0"/>
              <w:rPr>
                <w:sz w:val="7"/>
                <w:szCs w:val="7"/>
                <w:color w:val="auto"/>
              </w:rPr>
            </w:pPr>
          </w:p>
        </w:tc>
        <w:tc>
          <w:tcPr>
            <w:tcW w:w="980" w:type="dxa"/>
            <w:vAlign w:val="bottom"/>
            <w:gridSpan w:val="4"/>
            <w:vMerge w:val="restart"/>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8"/>
              </w:rPr>
              <w:t>Year Ended</w:t>
            </w:r>
          </w:p>
        </w:tc>
        <w:tc>
          <w:tcPr>
            <w:tcW w:w="1000" w:type="dxa"/>
            <w:vAlign w:val="bottom"/>
            <w:gridSpan w:val="5"/>
            <w:vMerge w:val="restart"/>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8"/>
              </w:rPr>
              <w:t>Year Ended</w:t>
            </w:r>
          </w:p>
        </w:tc>
        <w:tc>
          <w:tcPr>
            <w:tcW w:w="860" w:type="dxa"/>
            <w:vAlign w:val="bottom"/>
            <w:gridSpan w:val="5"/>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Year Ended</w:t>
            </w:r>
          </w:p>
        </w:tc>
        <w:tc>
          <w:tcPr>
            <w:tcW w:w="0" w:type="dxa"/>
            <w:vAlign w:val="bottom"/>
          </w:tcPr>
          <w:p>
            <w:pPr>
              <w:spacing w:after="0"/>
              <w:rPr>
                <w:sz w:val="1"/>
                <w:szCs w:val="1"/>
                <w:color w:val="auto"/>
              </w:rPr>
            </w:pPr>
          </w:p>
        </w:tc>
      </w:tr>
      <w:tr>
        <w:trPr>
          <w:trHeight w:val="114"/>
        </w:trPr>
        <w:tc>
          <w:tcPr>
            <w:tcW w:w="3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tcPr>
          <w:p>
            <w:pPr>
              <w:jc w:val="center"/>
              <w:ind w:right="100"/>
              <w:spacing w:after="0" w:line="115" w:lineRule="exact"/>
              <w:rPr>
                <w:sz w:val="20"/>
                <w:szCs w:val="20"/>
                <w:color w:val="auto"/>
              </w:rPr>
            </w:pPr>
            <w:r>
              <w:rPr>
                <w:rFonts w:ascii="Times New Roman" w:cs="Times New Roman" w:eastAsia="Times New Roman" w:hAnsi="Times New Roman"/>
                <w:sz w:val="11"/>
                <w:szCs w:val="11"/>
                <w:b w:val="1"/>
                <w:bCs w:val="1"/>
                <w:color w:val="auto"/>
              </w:rPr>
              <w:t>Ended</w:t>
            </w: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5"/>
          </w:tcPr>
          <w:p>
            <w:pPr>
              <w:jc w:val="center"/>
              <w:ind w:right="420"/>
              <w:spacing w:after="0" w:line="115" w:lineRule="exact"/>
              <w:rPr>
                <w:sz w:val="20"/>
                <w:szCs w:val="20"/>
                <w:color w:val="auto"/>
              </w:rPr>
            </w:pPr>
            <w:r>
              <w:rPr>
                <w:rFonts w:ascii="Times New Roman" w:cs="Times New Roman" w:eastAsia="Times New Roman" w:hAnsi="Times New Roman"/>
                <w:sz w:val="11"/>
                <w:szCs w:val="11"/>
                <w:b w:val="1"/>
                <w:bCs w:val="1"/>
                <w:color w:val="auto"/>
              </w:rPr>
              <w:t>Ended</w:t>
            </w:r>
          </w:p>
        </w:tc>
        <w:tc>
          <w:tcPr>
            <w:tcW w:w="980" w:type="dxa"/>
            <w:vAlign w:val="bottom"/>
            <w:gridSpan w:val="4"/>
            <w:vMerge w:val="continue"/>
          </w:tcPr>
          <w:p>
            <w:pPr>
              <w:spacing w:after="0"/>
              <w:rPr>
                <w:sz w:val="9"/>
                <w:szCs w:val="9"/>
                <w:color w:val="auto"/>
              </w:rPr>
            </w:pPr>
          </w:p>
        </w:tc>
        <w:tc>
          <w:tcPr>
            <w:tcW w:w="1000" w:type="dxa"/>
            <w:vAlign w:val="bottom"/>
            <w:gridSpan w:val="5"/>
            <w:vMerge w:val="continue"/>
          </w:tcPr>
          <w:p>
            <w:pPr>
              <w:spacing w:after="0"/>
              <w:rPr>
                <w:sz w:val="9"/>
                <w:szCs w:val="9"/>
                <w:color w:val="auto"/>
              </w:rPr>
            </w:pPr>
          </w:p>
        </w:tc>
        <w:tc>
          <w:tcPr>
            <w:tcW w:w="86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3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(Amounts in millions, except percentages)</w:t>
            </w:r>
          </w:p>
        </w:tc>
        <w:tc>
          <w:tcPr>
            <w:tcW w:w="80" w:type="dxa"/>
            <w:vAlign w:val="bottom"/>
          </w:tcPr>
          <w:p>
            <w:pPr>
              <w:spacing w:after="0"/>
              <w:rPr>
                <w:sz w:val="9"/>
                <w:szCs w:val="9"/>
                <w:color w:val="auto"/>
              </w:rPr>
            </w:pPr>
          </w:p>
        </w:tc>
        <w:tc>
          <w:tcPr>
            <w:tcW w:w="620" w:type="dxa"/>
            <w:vAlign w:val="bottom"/>
            <w:gridSpan w:val="3"/>
          </w:tcPr>
          <w:p>
            <w:pPr>
              <w:jc w:val="center"/>
              <w:ind w:right="100"/>
              <w:spacing w:after="0" w:line="115" w:lineRule="exact"/>
              <w:rPr>
                <w:sz w:val="20"/>
                <w:szCs w:val="20"/>
                <w:color w:val="auto"/>
              </w:rPr>
            </w:pPr>
            <w:r>
              <w:rPr>
                <w:rFonts w:ascii="Times New Roman" w:cs="Times New Roman" w:eastAsia="Times New Roman" w:hAnsi="Times New Roman"/>
                <w:sz w:val="11"/>
                <w:szCs w:val="11"/>
                <w:b w:val="1"/>
                <w:bCs w:val="1"/>
                <w:color w:val="auto"/>
                <w:w w:val="99"/>
              </w:rPr>
              <w:t>March 28,</w:t>
            </w: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5"/>
          </w:tcPr>
          <w:p>
            <w:pPr>
              <w:jc w:val="center"/>
              <w:ind w:right="420"/>
              <w:spacing w:after="0" w:line="115" w:lineRule="exact"/>
              <w:rPr>
                <w:sz w:val="20"/>
                <w:szCs w:val="20"/>
                <w:color w:val="auto"/>
              </w:rPr>
            </w:pPr>
            <w:r>
              <w:rPr>
                <w:rFonts w:ascii="Times New Roman" w:cs="Times New Roman" w:eastAsia="Times New Roman" w:hAnsi="Times New Roman"/>
                <w:sz w:val="11"/>
                <w:szCs w:val="11"/>
                <w:b w:val="1"/>
                <w:bCs w:val="1"/>
                <w:color w:val="auto"/>
                <w:w w:val="99"/>
              </w:rPr>
              <w:t>March 29,</w:t>
            </w:r>
          </w:p>
        </w:tc>
        <w:tc>
          <w:tcPr>
            <w:tcW w:w="980" w:type="dxa"/>
            <w:vAlign w:val="bottom"/>
            <w:gridSpan w:val="4"/>
          </w:tcPr>
          <w:p>
            <w:pPr>
              <w:jc w:val="center"/>
              <w:ind w:right="340"/>
              <w:spacing w:after="0" w:line="115" w:lineRule="exact"/>
              <w:rPr>
                <w:sz w:val="20"/>
                <w:szCs w:val="20"/>
                <w:color w:val="auto"/>
              </w:rPr>
            </w:pPr>
            <w:r>
              <w:rPr>
                <w:rFonts w:ascii="Times New Roman" w:cs="Times New Roman" w:eastAsia="Times New Roman" w:hAnsi="Times New Roman"/>
                <w:sz w:val="11"/>
                <w:szCs w:val="11"/>
                <w:b w:val="1"/>
                <w:bCs w:val="1"/>
                <w:color w:val="auto"/>
                <w:w w:val="99"/>
              </w:rPr>
              <w:t>December 31,</w:t>
            </w:r>
          </w:p>
        </w:tc>
        <w:tc>
          <w:tcPr>
            <w:tcW w:w="1000" w:type="dxa"/>
            <w:vAlign w:val="bottom"/>
            <w:gridSpan w:val="5"/>
          </w:tcPr>
          <w:p>
            <w:pPr>
              <w:jc w:val="center"/>
              <w:ind w:right="320"/>
              <w:spacing w:after="0" w:line="115" w:lineRule="exact"/>
              <w:rPr>
                <w:sz w:val="20"/>
                <w:szCs w:val="20"/>
                <w:color w:val="auto"/>
              </w:rPr>
            </w:pPr>
            <w:r>
              <w:rPr>
                <w:rFonts w:ascii="Times New Roman" w:cs="Times New Roman" w:eastAsia="Times New Roman" w:hAnsi="Times New Roman"/>
                <w:sz w:val="11"/>
                <w:szCs w:val="11"/>
                <w:b w:val="1"/>
                <w:bCs w:val="1"/>
                <w:color w:val="auto"/>
                <w:w w:val="99"/>
              </w:rPr>
              <w:t>December 31,</w:t>
            </w:r>
          </w:p>
        </w:tc>
        <w:tc>
          <w:tcPr>
            <w:tcW w:w="860" w:type="dxa"/>
            <w:vAlign w:val="bottom"/>
            <w:gridSpan w:val="5"/>
          </w:tcPr>
          <w:p>
            <w:pPr>
              <w:jc w:val="center"/>
              <w:ind w:right="220"/>
              <w:spacing w:after="0" w:line="115" w:lineRule="exact"/>
              <w:rPr>
                <w:sz w:val="20"/>
                <w:szCs w:val="20"/>
                <w:color w:val="auto"/>
              </w:rPr>
            </w:pPr>
            <w:r>
              <w:rPr>
                <w:rFonts w:ascii="Times New Roman" w:cs="Times New Roman" w:eastAsia="Times New Roman" w:hAnsi="Times New Roman"/>
                <w:sz w:val="11"/>
                <w:szCs w:val="11"/>
                <w:b w:val="1"/>
                <w:bCs w:val="1"/>
                <w:color w:val="auto"/>
                <w:w w:val="99"/>
              </w:rPr>
              <w:t>December 31,</w:t>
            </w:r>
          </w:p>
        </w:tc>
        <w:tc>
          <w:tcPr>
            <w:tcW w:w="0" w:type="dxa"/>
            <w:vAlign w:val="bottom"/>
          </w:tcPr>
          <w:p>
            <w:pPr>
              <w:spacing w:after="0"/>
              <w:rPr>
                <w:sz w:val="1"/>
                <w:szCs w:val="1"/>
                <w:color w:val="auto"/>
              </w:rPr>
            </w:pPr>
          </w:p>
        </w:tc>
      </w:tr>
      <w:tr>
        <w:trPr>
          <w:trHeight w:val="134"/>
        </w:trPr>
        <w:tc>
          <w:tcPr>
            <w:tcW w:w="3320" w:type="dxa"/>
            <w:vAlign w:val="bottom"/>
            <w:tcBorders>
              <w:bottom w:val="single" w:sz="8" w:color="CCEEFF"/>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2"/>
          </w:tcPr>
          <w:p>
            <w:pPr>
              <w:jc w:val="center"/>
              <w:ind w:right="7"/>
              <w:spacing w:after="0"/>
              <w:rPr>
                <w:sz w:val="20"/>
                <w:szCs w:val="20"/>
                <w:color w:val="auto"/>
              </w:rPr>
            </w:pPr>
            <w:r>
              <w:rPr>
                <w:rFonts w:ascii="Times New Roman" w:cs="Times New Roman" w:eastAsia="Times New Roman" w:hAnsi="Times New Roman"/>
                <w:sz w:val="11"/>
                <w:szCs w:val="11"/>
                <w:b w:val="1"/>
                <w:bCs w:val="1"/>
                <w:color w:val="auto"/>
                <w:w w:val="99"/>
              </w:rPr>
              <w:t>2026</w:t>
            </w:r>
          </w:p>
        </w:tc>
        <w:tc>
          <w:tcPr>
            <w:tcW w:w="20" w:type="dxa"/>
            <w:vAlign w:val="bottom"/>
            <w:tcBorders>
              <w:bottom w:val="single" w:sz="8" w:color="CCEEFF"/>
            </w:tcBorders>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2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20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4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1"/>
                <w:szCs w:val="11"/>
                <w:b w:val="1"/>
                <w:bCs w:val="1"/>
                <w:color w:val="auto"/>
              </w:rPr>
              <w:t>2023</w:t>
            </w:r>
          </w:p>
        </w:tc>
        <w:tc>
          <w:tcPr>
            <w:tcW w:w="6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3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Other Financial Data:</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Medline Brand segment net sales</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3,465</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3,264</w:t>
            </w:r>
          </w:p>
        </w:tc>
        <w:tc>
          <w:tcPr>
            <w:tcW w:w="80" w:type="dxa"/>
            <w:vAlign w:val="bottom"/>
          </w:tcPr>
          <w:p>
            <w:pPr>
              <w:spacing w:after="0"/>
              <w:rPr>
                <w:sz w:val="14"/>
                <w:szCs w:val="14"/>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   13,720</w:t>
            </w:r>
          </w:p>
        </w:tc>
        <w:tc>
          <w:tcPr>
            <w:tcW w:w="1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12,515</w:t>
            </w:r>
          </w:p>
        </w:tc>
        <w:tc>
          <w:tcPr>
            <w:tcW w:w="220" w:type="dxa"/>
            <w:vAlign w:val="bottom"/>
          </w:tcPr>
          <w:p>
            <w:pPr>
              <w:spacing w:after="0"/>
              <w:rPr>
                <w:sz w:val="14"/>
                <w:szCs w:val="14"/>
                <w:color w:val="auto"/>
              </w:rPr>
            </w:pPr>
          </w:p>
        </w:tc>
        <w:tc>
          <w:tcPr>
            <w:tcW w:w="160" w:type="dxa"/>
            <w:vAlign w:val="bottom"/>
            <w:gridSpan w:val="2"/>
          </w:tcPr>
          <w:p>
            <w:pPr>
              <w:jc w:val="right"/>
              <w:ind w:right="45"/>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11,613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32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3"/>
                <w:szCs w:val="13"/>
                <w:color w:val="auto"/>
              </w:rPr>
              <w:t>Medline Brand Segment Adjusted EBITDA</w:t>
            </w:r>
            <w:r>
              <w:rPr>
                <w:rFonts w:ascii="Times New Roman" w:cs="Times New Roman" w:eastAsia="Times New Roman" w:hAnsi="Times New Roman"/>
                <w:sz w:val="19"/>
                <w:szCs w:val="19"/>
                <w:color w:val="auto"/>
                <w:vertAlign w:val="superscript"/>
              </w:rPr>
              <w:t>(1)</w:t>
            </w:r>
          </w:p>
        </w:tc>
        <w:tc>
          <w:tcPr>
            <w:tcW w:w="8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765</w:t>
            </w:r>
          </w:p>
        </w:tc>
        <w:tc>
          <w:tcPr>
            <w:tcW w:w="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830</w:t>
            </w:r>
          </w:p>
        </w:tc>
        <w:tc>
          <w:tcPr>
            <w:tcW w:w="8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3,334</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3,269</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2,704</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320" w:type="dxa"/>
            <w:vAlign w:val="bottom"/>
          </w:tcPr>
          <w:p>
            <w:pPr>
              <w:spacing w:after="0" w:line="166" w:lineRule="exact"/>
              <w:rPr>
                <w:sz w:val="20"/>
                <w:szCs w:val="20"/>
                <w:color w:val="auto"/>
              </w:rPr>
            </w:pPr>
            <w:r>
              <w:rPr>
                <w:rFonts w:ascii="Times New Roman" w:cs="Times New Roman" w:eastAsia="Times New Roman" w:hAnsi="Times New Roman"/>
                <w:sz w:val="13"/>
                <w:szCs w:val="13"/>
                <w:color w:val="auto"/>
              </w:rPr>
              <w:t>Medline Brand Segment Adjusted EBITDA Margin</w:t>
            </w:r>
            <w:r>
              <w:rPr>
                <w:rFonts w:ascii="Times New Roman" w:cs="Times New Roman" w:eastAsia="Times New Roman" w:hAnsi="Times New Roman"/>
                <w:sz w:val="19"/>
                <w:szCs w:val="19"/>
                <w:color w:val="auto"/>
                <w:vertAlign w:val="superscript"/>
              </w:rPr>
              <w:t>(1)</w:t>
            </w:r>
          </w:p>
        </w:tc>
        <w:tc>
          <w:tcPr>
            <w:tcW w:w="80" w:type="dxa"/>
            <w:vAlign w:val="bottom"/>
          </w:tcPr>
          <w:p>
            <w:pPr>
              <w:spacing w:after="0"/>
              <w:rPr>
                <w:sz w:val="14"/>
                <w:szCs w:val="14"/>
                <w:color w:val="auto"/>
              </w:rPr>
            </w:pPr>
          </w:p>
        </w:tc>
        <w:tc>
          <w:tcPr>
            <w:tcW w:w="920" w:type="dxa"/>
            <w:vAlign w:val="bottom"/>
            <w:gridSpan w:val="4"/>
          </w:tcPr>
          <w:p>
            <w:pPr>
              <w:jc w:val="right"/>
              <w:ind w:right="131"/>
              <w:spacing w:after="0"/>
              <w:rPr>
                <w:sz w:val="20"/>
                <w:szCs w:val="20"/>
                <w:color w:val="auto"/>
              </w:rPr>
            </w:pPr>
            <w:r>
              <w:rPr>
                <w:rFonts w:ascii="Times New Roman" w:cs="Times New Roman" w:eastAsia="Times New Roman" w:hAnsi="Times New Roman"/>
                <w:sz w:val="14"/>
                <w:szCs w:val="14"/>
                <w:color w:val="auto"/>
              </w:rPr>
              <w:t>22.1%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25.4%</w:t>
            </w:r>
          </w:p>
        </w:tc>
        <w:tc>
          <w:tcPr>
            <w:tcW w:w="80" w:type="dxa"/>
            <w:vAlign w:val="bottom"/>
          </w:tcPr>
          <w:p>
            <w:pPr>
              <w:spacing w:after="0"/>
              <w:rPr>
                <w:sz w:val="14"/>
                <w:szCs w:val="14"/>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24.3%</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26.1%</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23.3%</w:t>
            </w:r>
          </w:p>
        </w:tc>
        <w:tc>
          <w:tcPr>
            <w:tcW w:w="0" w:type="dxa"/>
            <w:vAlign w:val="bottom"/>
          </w:tcPr>
          <w:p>
            <w:pPr>
              <w:spacing w:after="0"/>
              <w:rPr>
                <w:sz w:val="1"/>
                <w:szCs w:val="1"/>
                <w:color w:val="auto"/>
              </w:rPr>
            </w:pPr>
          </w:p>
        </w:tc>
      </w:tr>
      <w:tr>
        <w:trPr>
          <w:trHeight w:val="16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Supply Chain Solutions segment net sales</w:t>
            </w:r>
          </w:p>
        </w:tc>
        <w:tc>
          <w:tcPr>
            <w:tcW w:w="8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  3,887</w:t>
            </w:r>
          </w:p>
        </w:tc>
        <w:tc>
          <w:tcPr>
            <w:tcW w:w="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w w:val="95"/>
              </w:rPr>
              <w:t>  3,380</w:t>
            </w:r>
          </w:p>
        </w:tc>
        <w:tc>
          <w:tcPr>
            <w:tcW w:w="20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w w:val="85"/>
              </w:rPr>
              <w:t>  14,712</w:t>
            </w:r>
          </w:p>
        </w:tc>
        <w:tc>
          <w:tcPr>
            <w:tcW w:w="140" w:type="dxa"/>
            <w:vAlign w:val="bottom"/>
            <w:shd w:val="clear" w:color="auto" w:fill="CCEEFF"/>
          </w:tcPr>
          <w:p>
            <w:pPr>
              <w:spacing w:after="0"/>
              <w:rPr>
                <w:sz w:val="14"/>
                <w:szCs w:val="14"/>
                <w:color w:val="auto"/>
              </w:rPr>
            </w:pPr>
          </w:p>
        </w:tc>
        <w:tc>
          <w:tcPr>
            <w:tcW w:w="86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  12,992</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w w:val="93"/>
              </w:rPr>
              <w:t>  11,618</w:t>
            </w:r>
          </w:p>
        </w:tc>
        <w:tc>
          <w:tcPr>
            <w:tcW w:w="0" w:type="dxa"/>
            <w:vAlign w:val="bottom"/>
          </w:tcPr>
          <w:p>
            <w:pPr>
              <w:spacing w:after="0"/>
              <w:rPr>
                <w:sz w:val="1"/>
                <w:szCs w:val="1"/>
                <w:color w:val="auto"/>
              </w:rPr>
            </w:pPr>
          </w:p>
        </w:tc>
      </w:tr>
      <w:tr>
        <w:trPr>
          <w:trHeight w:val="166"/>
        </w:trPr>
        <w:tc>
          <w:tcPr>
            <w:tcW w:w="3320" w:type="dxa"/>
            <w:vAlign w:val="bottom"/>
          </w:tcPr>
          <w:p>
            <w:pPr>
              <w:spacing w:after="0" w:line="166" w:lineRule="exact"/>
              <w:rPr>
                <w:sz w:val="20"/>
                <w:szCs w:val="20"/>
                <w:color w:val="auto"/>
              </w:rPr>
            </w:pPr>
            <w:r>
              <w:rPr>
                <w:rFonts w:ascii="Times New Roman" w:cs="Times New Roman" w:eastAsia="Times New Roman" w:hAnsi="Times New Roman"/>
                <w:sz w:val="13"/>
                <w:szCs w:val="13"/>
                <w:color w:val="auto"/>
              </w:rPr>
              <w:t>Supply Chain Solutions Segment Adjusted EBITDA</w:t>
            </w:r>
            <w:r>
              <w:rPr>
                <w:rFonts w:ascii="Times New Roman" w:cs="Times New Roman" w:eastAsia="Times New Roman" w:hAnsi="Times New Roman"/>
                <w:sz w:val="19"/>
                <w:szCs w:val="19"/>
                <w:color w:val="auto"/>
                <w:vertAlign w:val="superscript"/>
              </w:rPr>
              <w:t>(1)</w:t>
            </w:r>
          </w:p>
        </w:tc>
        <w:tc>
          <w:tcPr>
            <w:tcW w:w="80" w:type="dxa"/>
            <w:vAlign w:val="bottom"/>
          </w:tcPr>
          <w:p>
            <w:pPr>
              <w:spacing w:after="0"/>
              <w:rPr>
                <w:sz w:val="14"/>
                <w:szCs w:val="14"/>
                <w:color w:val="auto"/>
              </w:rPr>
            </w:pP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187</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182</w:t>
            </w:r>
          </w:p>
        </w:tc>
        <w:tc>
          <w:tcPr>
            <w:tcW w:w="80" w:type="dxa"/>
            <w:vAlign w:val="bottom"/>
          </w:tcPr>
          <w:p>
            <w:pPr>
              <w:spacing w:after="0"/>
              <w:rPr>
                <w:sz w:val="14"/>
                <w:szCs w:val="14"/>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805</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647</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491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320" w:type="dxa"/>
            <w:vAlign w:val="bottom"/>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Supply Chain Solutions Segment Adjusted EBITDA</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32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4"/>
                <w:szCs w:val="14"/>
                <w:color w:val="auto"/>
              </w:rPr>
              <w:t>Margin</w:t>
            </w:r>
            <w:r>
              <w:rPr>
                <w:rFonts w:ascii="Times New Roman" w:cs="Times New Roman" w:eastAsia="Times New Roman" w:hAnsi="Times New Roman"/>
                <w:sz w:val="20"/>
                <w:szCs w:val="20"/>
                <w:color w:val="auto"/>
                <w:vertAlign w:val="superscript"/>
              </w:rPr>
              <w:t>(1)</w:t>
            </w:r>
          </w:p>
        </w:tc>
        <w:tc>
          <w:tcPr>
            <w:tcW w:w="80" w:type="dxa"/>
            <w:vAlign w:val="bottom"/>
            <w:shd w:val="clear" w:color="auto" w:fill="CCEEFF"/>
          </w:tcPr>
          <w:p>
            <w:pPr>
              <w:spacing w:after="0"/>
              <w:rPr>
                <w:sz w:val="15"/>
                <w:szCs w:val="15"/>
                <w:color w:val="auto"/>
              </w:rPr>
            </w:pPr>
          </w:p>
        </w:tc>
        <w:tc>
          <w:tcPr>
            <w:tcW w:w="920" w:type="dxa"/>
            <w:vAlign w:val="bottom"/>
            <w:gridSpan w:val="4"/>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4.8%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5.5%</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5.0%</w:t>
            </w: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66"/>
        </w:trPr>
        <w:tc>
          <w:tcPr>
            <w:tcW w:w="3320" w:type="dxa"/>
            <w:vAlign w:val="bottom"/>
          </w:tcPr>
          <w:p>
            <w:pPr>
              <w:spacing w:after="0" w:line="166" w:lineRule="exact"/>
              <w:rPr>
                <w:sz w:val="20"/>
                <w:szCs w:val="20"/>
                <w:color w:val="auto"/>
              </w:rPr>
            </w:pPr>
            <w:r>
              <w:rPr>
                <w:rFonts w:ascii="Times New Roman" w:cs="Times New Roman" w:eastAsia="Times New Roman" w:hAnsi="Times New Roman"/>
                <w:sz w:val="13"/>
                <w:szCs w:val="13"/>
                <w:color w:val="auto"/>
              </w:rPr>
              <w:t>Adjusted EBITDA</w:t>
            </w:r>
            <w:r>
              <w:rPr>
                <w:rFonts w:ascii="Times New Roman" w:cs="Times New Roman" w:eastAsia="Times New Roman" w:hAnsi="Times New Roman"/>
                <w:sz w:val="19"/>
                <w:szCs w:val="19"/>
                <w:color w:val="auto"/>
                <w:vertAlign w:val="superscript"/>
              </w:rPr>
              <w:t>(2)</w:t>
            </w:r>
          </w:p>
        </w:tc>
        <w:tc>
          <w:tcPr>
            <w:tcW w:w="80" w:type="dxa"/>
            <w:vAlign w:val="bottom"/>
          </w:tcPr>
          <w:p>
            <w:pPr>
              <w:spacing w:after="0"/>
              <w:rPr>
                <w:sz w:val="14"/>
                <w:szCs w:val="14"/>
                <w:color w:val="auto"/>
              </w:rPr>
            </w:pP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776</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868</w:t>
            </w:r>
          </w:p>
        </w:tc>
        <w:tc>
          <w:tcPr>
            <w:tcW w:w="80" w:type="dxa"/>
            <w:vAlign w:val="bottom"/>
          </w:tcPr>
          <w:p>
            <w:pPr>
              <w:spacing w:after="0"/>
              <w:rPr>
                <w:sz w:val="14"/>
                <w:szCs w:val="14"/>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3,467</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3,361</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2,768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margin</w:t>
            </w:r>
          </w:p>
        </w:tc>
        <w:tc>
          <w:tcPr>
            <w:tcW w:w="80" w:type="dxa"/>
            <w:vAlign w:val="bottom"/>
            <w:shd w:val="clear" w:color="auto" w:fill="CCEEFF"/>
          </w:tcPr>
          <w:p>
            <w:pPr>
              <w:spacing w:after="0"/>
              <w:rPr>
                <w:sz w:val="14"/>
                <w:szCs w:val="14"/>
                <w:color w:val="auto"/>
              </w:rPr>
            </w:pPr>
          </w:p>
        </w:tc>
        <w:tc>
          <w:tcPr>
            <w:tcW w:w="920" w:type="dxa"/>
            <w:vAlign w:val="bottom"/>
            <w:gridSpan w:val="4"/>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3.3%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4.1%</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4.7%</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74"/>
        </w:trPr>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Adjusted EBITDA Margin</w:t>
            </w:r>
            <w:r>
              <w:rPr>
                <w:rFonts w:ascii="Times New Roman" w:cs="Times New Roman" w:eastAsia="Times New Roman" w:hAnsi="Times New Roman"/>
                <w:sz w:val="20"/>
                <w:szCs w:val="20"/>
                <w:color w:val="auto"/>
                <w:vertAlign w:val="superscript"/>
              </w:rPr>
              <w:t>(2)</w:t>
            </w:r>
          </w:p>
        </w:tc>
        <w:tc>
          <w:tcPr>
            <w:tcW w:w="80" w:type="dxa"/>
            <w:vAlign w:val="bottom"/>
          </w:tcPr>
          <w:p>
            <w:pPr>
              <w:spacing w:after="0"/>
              <w:rPr>
                <w:sz w:val="23"/>
                <w:szCs w:val="23"/>
                <w:color w:val="auto"/>
              </w:rPr>
            </w:pPr>
          </w:p>
        </w:tc>
        <w:tc>
          <w:tcPr>
            <w:tcW w:w="920" w:type="dxa"/>
            <w:vAlign w:val="bottom"/>
            <w:gridSpan w:val="4"/>
          </w:tcPr>
          <w:p>
            <w:pPr>
              <w:jc w:val="right"/>
              <w:ind w:right="131"/>
              <w:spacing w:after="0"/>
              <w:rPr>
                <w:sz w:val="20"/>
                <w:szCs w:val="20"/>
                <w:color w:val="auto"/>
              </w:rPr>
            </w:pPr>
            <w:r>
              <w:rPr>
                <w:rFonts w:ascii="Times New Roman" w:cs="Times New Roman" w:eastAsia="Times New Roman" w:hAnsi="Times New Roman"/>
                <w:sz w:val="14"/>
                <w:szCs w:val="14"/>
                <w:color w:val="auto"/>
              </w:rPr>
              <w:t>10.6%</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13.1%</w:t>
            </w:r>
          </w:p>
        </w:tc>
        <w:tc>
          <w:tcPr>
            <w:tcW w:w="80" w:type="dxa"/>
            <w:vAlign w:val="bottom"/>
          </w:tcPr>
          <w:p>
            <w:pPr>
              <w:spacing w:after="0"/>
              <w:rPr>
                <w:sz w:val="23"/>
                <w:szCs w:val="23"/>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12.2%</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13.2%</w:t>
            </w: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11.9%</w:t>
            </w: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1860" w:right="459" w:hanging="318"/>
        <w:spacing w:after="0" w:line="221" w:lineRule="auto"/>
        <w:tabs>
          <w:tab w:leader="none" w:pos="1860" w:val="left"/>
        </w:tabs>
        <w:numPr>
          <w:ilvl w:val="0"/>
          <w:numId w:val="2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Segment Adjusted EBITDA is our segment measure of profit or loss as defined by ASC 280. Segment Adjusted EBITDA for each respective segment does not include unallocated corporate and other costs. For additional information regarding Segment Adjusted EBITDA, see “Note 16—Segment Information” of our unaudited condensed consolidated financial statements, which is included in our 2026 Q1 Form 10-Q and “Note 20—Segment Information” of our audited consolidated financial statements, which is included in our 2025 Form 10-K, in each case incorporated by reference in this prospectus. Segment Adjusted EBITDA margin is Segment Adjusted EBITDA divided by segment net sales.</w:t>
      </w:r>
    </w:p>
    <w:p>
      <w:pPr>
        <w:spacing w:after="0" w:line="1" w:lineRule="exact"/>
        <w:rPr>
          <w:rFonts w:ascii="Times New Roman" w:cs="Times New Roman" w:eastAsia="Times New Roman" w:hAnsi="Times New Roman"/>
          <w:sz w:val="11"/>
          <w:szCs w:val="11"/>
          <w:color w:val="auto"/>
        </w:rPr>
      </w:pPr>
    </w:p>
    <w:p>
      <w:pPr>
        <w:ind w:left="1860" w:right="599" w:hanging="318"/>
        <w:spacing w:after="0" w:line="232" w:lineRule="auto"/>
        <w:tabs>
          <w:tab w:leader="none" w:pos="1860" w:val="left"/>
        </w:tabs>
        <w:numPr>
          <w:ilvl w:val="0"/>
          <w:numId w:val="2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Adjusted EBITDA and Adjusted EBITDA Margin are financial measures that are not presented in accordance with GAAP. See “—Adjusted EBITDA and Adjusted EBITDA Margin” below for reconciliations to the most comparable GAAP measures.</w:t>
      </w:r>
    </w:p>
    <w:p>
      <w:pPr>
        <w:spacing w:after="0" w:line="141" w:lineRule="exact"/>
        <w:rPr>
          <w:sz w:val="20"/>
          <w:szCs w:val="20"/>
          <w:color w:val="auto"/>
        </w:rPr>
      </w:pPr>
    </w:p>
    <w:p>
      <w:pPr>
        <w:ind w:left="1540" w:right="419" w:firstLine="328"/>
        <w:spacing w:after="0" w:line="258" w:lineRule="auto"/>
        <w:rPr>
          <w:sz w:val="20"/>
          <w:szCs w:val="20"/>
          <w:color w:val="auto"/>
        </w:rPr>
      </w:pPr>
      <w:r>
        <w:rPr>
          <w:rFonts w:ascii="Times New Roman" w:cs="Times New Roman" w:eastAsia="Times New Roman" w:hAnsi="Times New Roman"/>
          <w:sz w:val="14"/>
          <w:szCs w:val="14"/>
          <w:color w:val="auto"/>
        </w:rPr>
        <w:t>Management believes that certain financial measures that are not presented in accordance with GAAP provide management and investors useful supplemental information that provides a meaningful view of our financial condition and results of operations across periods by removing the impact of items that management believes do not directly reflect our ongoing operating performance. Adjusted EBITDA and Adjusted EBITDA Margin are supplemental measures that are not required by or presented in accordance with GAAP.</w:t>
      </w:r>
    </w:p>
    <w:p>
      <w:pPr>
        <w:spacing w:after="0" w:line="140" w:lineRule="exact"/>
        <w:rPr>
          <w:sz w:val="20"/>
          <w:szCs w:val="20"/>
          <w:color w:val="auto"/>
        </w:rPr>
      </w:pPr>
    </w:p>
    <w:p>
      <w:pPr>
        <w:ind w:left="1540" w:right="419" w:firstLine="328"/>
        <w:spacing w:after="0" w:line="279" w:lineRule="auto"/>
        <w:rPr>
          <w:sz w:val="20"/>
          <w:szCs w:val="20"/>
          <w:color w:val="auto"/>
        </w:rPr>
      </w:pPr>
      <w:r>
        <w:rPr>
          <w:rFonts w:ascii="Times New Roman" w:cs="Times New Roman" w:eastAsia="Times New Roman" w:hAnsi="Times New Roman"/>
          <w:sz w:val="13"/>
          <w:szCs w:val="13"/>
          <w:color w:val="auto"/>
        </w:rPr>
        <w:t>We evaluate our operating performance using Adjusted EBITDA and Adjusted EBITDA Margin. We define Adjusted EBITDA as net income (loss) adjusted for (i) interest expense, net, (ii) provision for income taxes, (iii) depreciation and amortization, (iv) inventory-related adjustments,</w:t>
      </w:r>
    </w:p>
    <w:p>
      <w:pPr>
        <w:ind w:left="1540" w:right="439" w:firstLine="2"/>
        <w:spacing w:after="0" w:line="250" w:lineRule="auto"/>
        <w:tabs>
          <w:tab w:leader="none" w:pos="173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stock-based compensation, (vi) litigation (gains) charges, net, (vii) transaction-related costs, and (viii) other non-core (gains) charges. Adjusted EBITDA Margin represents Adjusted EBITDA divided by net sales. Adjusted EBITDA and Adjusted EBITDA Margin are key performance measures that our management uses to assess our financial performance as well as for internal planning and forecasting purposes. We consider Adjusted EBITDA and Adjusted EBITDA Margin to be meaningful performance measures for investors to evaluate our operating performance and to compare the financial results between periods. Adjusted EBITDA does not reflect certain cash expenses that we</w:t>
      </w:r>
    </w:p>
    <w:p>
      <w:pPr>
        <w:spacing w:after="0" w:line="23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10159"/>
          </w:cols>
          <w:pgMar w:left="300" w:top="383"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46215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393690" cy="4621530"/>
                    </a:xfrm>
                    <a:prstGeom prst="rect">
                      <a:avLst/>
                    </a:prstGeom>
                    <a:noFill/>
                  </pic:spPr>
                </pic:pic>
              </a:graphicData>
            </a:graphic>
          </wp:anchor>
        </w:drawing>
      </w:r>
    </w:p>
    <w:p>
      <w:pPr>
        <w:spacing w:after="0" w:line="362" w:lineRule="exact"/>
        <w:rPr>
          <w:sz w:val="20"/>
          <w:szCs w:val="20"/>
          <w:color w:val="auto"/>
        </w:rPr>
      </w:pPr>
    </w:p>
    <w:p>
      <w:pPr>
        <w:ind w:left="1540" w:right="499"/>
        <w:spacing w:after="0" w:line="278" w:lineRule="auto"/>
        <w:rPr>
          <w:sz w:val="20"/>
          <w:szCs w:val="20"/>
          <w:color w:val="auto"/>
        </w:rPr>
      </w:pPr>
      <w:r>
        <w:rPr>
          <w:rFonts w:ascii="Times New Roman" w:cs="Times New Roman" w:eastAsia="Times New Roman" w:hAnsi="Times New Roman"/>
          <w:sz w:val="14"/>
          <w:szCs w:val="14"/>
          <w:color w:val="auto"/>
        </w:rPr>
        <w:t>are obligated to make, and although depreciation and amortization are non-cash charges, assets being depreciated and amortized will often have to be replaced in the future, and Adjusted EBITDA does not reflect any cash requirements for such replacements.</w:t>
      </w:r>
    </w:p>
    <w:p>
      <w:pPr>
        <w:spacing w:after="0" w:line="126" w:lineRule="exact"/>
        <w:rPr>
          <w:sz w:val="20"/>
          <w:szCs w:val="20"/>
          <w:color w:val="auto"/>
        </w:rPr>
      </w:pPr>
    </w:p>
    <w:p>
      <w:pPr>
        <w:ind w:left="1540" w:right="419" w:firstLine="328"/>
        <w:spacing w:after="0" w:line="253" w:lineRule="auto"/>
        <w:rPr>
          <w:sz w:val="20"/>
          <w:szCs w:val="20"/>
          <w:color w:val="auto"/>
        </w:rPr>
      </w:pPr>
      <w:r>
        <w:rPr>
          <w:rFonts w:ascii="Times New Roman" w:cs="Times New Roman" w:eastAsia="Times New Roman" w:hAnsi="Times New Roman"/>
          <w:sz w:val="14"/>
          <w:szCs w:val="14"/>
          <w:color w:val="auto"/>
        </w:rPr>
        <w:t>Adjusted EBITDA and Adjusted EBITDA Margin are not measurements of financial performance or liquidity under GAAP. In evaluating our performance as measured by Adjusted EBITDA and Adjusted EBITDA Margin, management recognizes and considers the limitations of these measures. Other companies in our industry may calculate Adjusted EBITDA and Adjusted EBITDA Margin differently than we do or may not calculate them at all, limiting their usefulness as comparative measures. Because of these limitations, Adjusted EBITDA and Adjusted EBITDA Margin should not be considered in isolation or as a substitute for net income (loss), net income (loss) margin, or any other measure calculated in accordance with GAAP, as applicable, and should be considered together with our GAAP financial measures and the reconciliations to the corresponding GAAP financial measures set forth in this prospectus.</w:t>
      </w:r>
    </w:p>
    <w:p>
      <w:pPr>
        <w:spacing w:after="0" w:line="22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Adjusted EBITDA and Adjusted EBITDA Margin</w:t>
      </w:r>
    </w:p>
    <w:p>
      <w:pPr>
        <w:spacing w:after="0" w:line="91" w:lineRule="exact"/>
        <w:rPr>
          <w:sz w:val="20"/>
          <w:szCs w:val="20"/>
          <w:color w:val="auto"/>
        </w:rPr>
      </w:pPr>
    </w:p>
    <w:p>
      <w:pPr>
        <w:ind w:left="1540" w:right="819" w:firstLine="328"/>
        <w:spacing w:after="0" w:line="278" w:lineRule="auto"/>
        <w:rPr>
          <w:sz w:val="20"/>
          <w:szCs w:val="20"/>
          <w:color w:val="auto"/>
        </w:rPr>
      </w:pPr>
      <w:r>
        <w:rPr>
          <w:rFonts w:ascii="Times New Roman" w:cs="Times New Roman" w:eastAsia="Times New Roman" w:hAnsi="Times New Roman"/>
          <w:sz w:val="14"/>
          <w:szCs w:val="14"/>
          <w:color w:val="auto"/>
        </w:rPr>
        <w:t>The following table sets forth a reconciliation of net income, the most comparable GAAP financial measure, to Adjusted EBITDA and Adjusted EBITDA Margin for the periods indicated.</w:t>
      </w:r>
    </w:p>
    <w:p>
      <w:pPr>
        <w:spacing w:after="0" w:line="142" w:lineRule="exact"/>
        <w:rPr>
          <w:sz w:val="20"/>
          <w:szCs w:val="20"/>
          <w:color w:val="auto"/>
        </w:rPr>
      </w:pPr>
    </w:p>
    <w:tbl>
      <w:tblPr>
        <w:tblLayout w:type="fixed"/>
        <w:tblInd w:w="1540" w:type="dxa"/>
        <w:tblCellMar>
          <w:top w:w="0" w:type="dxa"/>
          <w:left w:w="0" w:type="dxa"/>
          <w:bottom w:w="0" w:type="dxa"/>
          <w:right w:w="0" w:type="dxa"/>
        </w:tblCellMar>
      </w:tblPr>
      <w:tr>
        <w:trPr>
          <w:trHeight w:val="134"/>
        </w:trPr>
        <w:tc>
          <w:tcPr>
            <w:tcW w:w="3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4"/>
          </w:tcPr>
          <w:p>
            <w:pPr>
              <w:jc w:val="right"/>
              <w:ind w:right="293"/>
              <w:spacing w:after="0"/>
              <w:rPr>
                <w:sz w:val="20"/>
                <w:szCs w:val="20"/>
                <w:color w:val="auto"/>
              </w:rPr>
            </w:pPr>
            <w:r>
              <w:rPr>
                <w:rFonts w:ascii="Times New Roman" w:cs="Times New Roman" w:eastAsia="Times New Roman" w:hAnsi="Times New Roman"/>
                <w:sz w:val="11"/>
                <w:szCs w:val="11"/>
                <w:b w:val="1"/>
                <w:bCs w:val="1"/>
                <w:color w:val="auto"/>
              </w:rPr>
              <w:t>Unaudited Historical</w:t>
            </w:r>
          </w:p>
        </w:tc>
        <w:tc>
          <w:tcPr>
            <w:tcW w:w="4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1"/>
                <w:szCs w:val="11"/>
                <w:b w:val="1"/>
                <w:bCs w:val="1"/>
                <w:color w:val="auto"/>
              </w:rPr>
              <w:t>Historical</w:t>
            </w: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3120" w:type="dxa"/>
            <w:vAlign w:val="bottom"/>
          </w:tcPr>
          <w:p>
            <w:pPr>
              <w:spacing w:after="0"/>
              <w:rPr>
                <w:sz w:val="7"/>
                <w:szCs w:val="7"/>
                <w:color w:val="auto"/>
              </w:rPr>
            </w:pPr>
          </w:p>
        </w:tc>
        <w:tc>
          <w:tcPr>
            <w:tcW w:w="1060" w:type="dxa"/>
            <w:vAlign w:val="bottom"/>
            <w:gridSpan w:val="3"/>
          </w:tcPr>
          <w:p>
            <w:pPr>
              <w:jc w:val="center"/>
              <w:ind w:right="380"/>
              <w:spacing w:after="0" w:line="86" w:lineRule="exact"/>
              <w:rPr>
                <w:sz w:val="20"/>
                <w:szCs w:val="20"/>
                <w:color w:val="auto"/>
              </w:rPr>
            </w:pPr>
            <w:r>
              <w:rPr>
                <w:rFonts w:ascii="Times New Roman" w:cs="Times New Roman" w:eastAsia="Times New Roman" w:hAnsi="Times New Roman"/>
                <w:sz w:val="9"/>
                <w:szCs w:val="9"/>
                <w:b w:val="1"/>
                <w:bCs w:val="1"/>
                <w:color w:val="auto"/>
              </w:rPr>
              <w:t>Three Months</w:t>
            </w:r>
          </w:p>
        </w:tc>
        <w:tc>
          <w:tcPr>
            <w:tcW w:w="680" w:type="dxa"/>
            <w:vAlign w:val="bottom"/>
            <w:gridSpan w:val="2"/>
          </w:tcPr>
          <w:p>
            <w:pPr>
              <w:jc w:val="center"/>
              <w:spacing w:after="0" w:line="86" w:lineRule="exact"/>
              <w:rPr>
                <w:sz w:val="20"/>
                <w:szCs w:val="20"/>
                <w:color w:val="auto"/>
              </w:rPr>
            </w:pPr>
            <w:r>
              <w:rPr>
                <w:rFonts w:ascii="Times New Roman" w:cs="Times New Roman" w:eastAsia="Times New Roman" w:hAnsi="Times New Roman"/>
                <w:sz w:val="9"/>
                <w:szCs w:val="9"/>
                <w:b w:val="1"/>
                <w:bCs w:val="1"/>
                <w:color w:val="auto"/>
              </w:rPr>
              <w:t>Three Months</w:t>
            </w:r>
          </w:p>
        </w:tc>
        <w:tc>
          <w:tcPr>
            <w:tcW w:w="400" w:type="dxa"/>
            <w:vAlign w:val="bottom"/>
          </w:tcPr>
          <w:p>
            <w:pPr>
              <w:spacing w:after="0"/>
              <w:rPr>
                <w:sz w:val="7"/>
                <w:szCs w:val="7"/>
                <w:color w:val="auto"/>
              </w:rPr>
            </w:pPr>
          </w:p>
        </w:tc>
        <w:tc>
          <w:tcPr>
            <w:tcW w:w="1040" w:type="dxa"/>
            <w:vAlign w:val="bottom"/>
            <w:gridSpan w:val="3"/>
            <w:vMerge w:val="restart"/>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104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w w:val="98"/>
              </w:rPr>
              <w:t>Year Ended</w:t>
            </w:r>
          </w:p>
        </w:tc>
        <w:tc>
          <w:tcPr>
            <w:tcW w:w="86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0" w:type="dxa"/>
            <w:vAlign w:val="bottom"/>
          </w:tcPr>
          <w:p>
            <w:pPr>
              <w:spacing w:after="0"/>
              <w:rPr>
                <w:sz w:val="1"/>
                <w:szCs w:val="1"/>
                <w:color w:val="auto"/>
              </w:rPr>
            </w:pPr>
          </w:p>
        </w:tc>
      </w:tr>
      <w:tr>
        <w:trPr>
          <w:trHeight w:val="114"/>
        </w:trPr>
        <w:tc>
          <w:tcPr>
            <w:tcW w:w="3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gridSpan w:val="2"/>
          </w:tcPr>
          <w:p>
            <w:pPr>
              <w:jc w:val="center"/>
              <w:ind w:right="440"/>
              <w:spacing w:after="0" w:line="115" w:lineRule="exact"/>
              <w:rPr>
                <w:sz w:val="20"/>
                <w:szCs w:val="20"/>
                <w:color w:val="auto"/>
              </w:rPr>
            </w:pPr>
            <w:r>
              <w:rPr>
                <w:rFonts w:ascii="Times New Roman" w:cs="Times New Roman" w:eastAsia="Times New Roman" w:hAnsi="Times New Roman"/>
                <w:sz w:val="11"/>
                <w:szCs w:val="11"/>
                <w:b w:val="1"/>
                <w:bCs w:val="1"/>
                <w:color w:val="auto"/>
                <w:w w:val="97"/>
              </w:rPr>
              <w:t>Ended</w:t>
            </w:r>
          </w:p>
        </w:tc>
        <w:tc>
          <w:tcPr>
            <w:tcW w:w="80" w:type="dxa"/>
            <w:vAlign w:val="bottom"/>
          </w:tcPr>
          <w:p>
            <w:pPr>
              <w:spacing w:after="0"/>
              <w:rPr>
                <w:sz w:val="9"/>
                <w:szCs w:val="9"/>
                <w:color w:val="auto"/>
              </w:rPr>
            </w:pPr>
          </w:p>
        </w:tc>
        <w:tc>
          <w:tcPr>
            <w:tcW w:w="1000" w:type="dxa"/>
            <w:vAlign w:val="bottom"/>
            <w:gridSpan w:val="2"/>
          </w:tcPr>
          <w:p>
            <w:pPr>
              <w:jc w:val="center"/>
              <w:ind w:right="460"/>
              <w:spacing w:after="0" w:line="115" w:lineRule="exact"/>
              <w:rPr>
                <w:sz w:val="20"/>
                <w:szCs w:val="20"/>
                <w:color w:val="auto"/>
              </w:rPr>
            </w:pPr>
            <w:r>
              <w:rPr>
                <w:rFonts w:ascii="Times New Roman" w:cs="Times New Roman" w:eastAsia="Times New Roman" w:hAnsi="Times New Roman"/>
                <w:sz w:val="11"/>
                <w:szCs w:val="11"/>
                <w:b w:val="1"/>
                <w:bCs w:val="1"/>
                <w:color w:val="auto"/>
                <w:w w:val="97"/>
              </w:rPr>
              <w:t>Ended</w:t>
            </w:r>
          </w:p>
        </w:tc>
        <w:tc>
          <w:tcPr>
            <w:tcW w:w="1040" w:type="dxa"/>
            <w:vAlign w:val="bottom"/>
            <w:gridSpan w:val="3"/>
            <w:vMerge w:val="continue"/>
          </w:tcPr>
          <w:p>
            <w:pPr>
              <w:spacing w:after="0"/>
              <w:rPr>
                <w:sz w:val="9"/>
                <w:szCs w:val="9"/>
                <w:color w:val="auto"/>
              </w:rPr>
            </w:pPr>
          </w:p>
        </w:tc>
        <w:tc>
          <w:tcPr>
            <w:tcW w:w="1040" w:type="dxa"/>
            <w:vAlign w:val="bottom"/>
            <w:gridSpan w:val="3"/>
            <w:vMerge w:val="continue"/>
          </w:tcPr>
          <w:p>
            <w:pPr>
              <w:spacing w:after="0"/>
              <w:rPr>
                <w:sz w:val="9"/>
                <w:szCs w:val="9"/>
                <w:color w:val="auto"/>
              </w:rPr>
            </w:pPr>
          </w:p>
        </w:tc>
        <w:tc>
          <w:tcPr>
            <w:tcW w:w="8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1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(Amounts in millions, except percentages)</w:t>
            </w:r>
          </w:p>
        </w:tc>
        <w:tc>
          <w:tcPr>
            <w:tcW w:w="80" w:type="dxa"/>
            <w:vAlign w:val="bottom"/>
          </w:tcPr>
          <w:p>
            <w:pPr>
              <w:spacing w:after="0"/>
              <w:rPr>
                <w:sz w:val="9"/>
                <w:szCs w:val="9"/>
                <w:color w:val="auto"/>
              </w:rPr>
            </w:pPr>
          </w:p>
        </w:tc>
        <w:tc>
          <w:tcPr>
            <w:tcW w:w="980" w:type="dxa"/>
            <w:vAlign w:val="bottom"/>
            <w:gridSpan w:val="2"/>
          </w:tcPr>
          <w:p>
            <w:pPr>
              <w:jc w:val="center"/>
              <w:ind w:right="460"/>
              <w:spacing w:after="0" w:line="115" w:lineRule="exact"/>
              <w:rPr>
                <w:sz w:val="20"/>
                <w:szCs w:val="20"/>
                <w:color w:val="auto"/>
              </w:rPr>
            </w:pPr>
            <w:r>
              <w:rPr>
                <w:rFonts w:ascii="Times New Roman" w:cs="Times New Roman" w:eastAsia="Times New Roman" w:hAnsi="Times New Roman"/>
                <w:sz w:val="11"/>
                <w:szCs w:val="11"/>
                <w:b w:val="1"/>
                <w:bCs w:val="1"/>
                <w:color w:val="auto"/>
                <w:w w:val="99"/>
              </w:rPr>
              <w:t>March 28,</w:t>
            </w:r>
          </w:p>
        </w:tc>
        <w:tc>
          <w:tcPr>
            <w:tcW w:w="80" w:type="dxa"/>
            <w:vAlign w:val="bottom"/>
          </w:tcPr>
          <w:p>
            <w:pPr>
              <w:spacing w:after="0"/>
              <w:rPr>
                <w:sz w:val="9"/>
                <w:szCs w:val="9"/>
                <w:color w:val="auto"/>
              </w:rPr>
            </w:pPr>
          </w:p>
        </w:tc>
        <w:tc>
          <w:tcPr>
            <w:tcW w:w="1000" w:type="dxa"/>
            <w:vAlign w:val="bottom"/>
            <w:gridSpan w:val="2"/>
          </w:tcPr>
          <w:p>
            <w:pPr>
              <w:jc w:val="center"/>
              <w:ind w:right="480"/>
              <w:spacing w:after="0" w:line="115" w:lineRule="exact"/>
              <w:rPr>
                <w:sz w:val="20"/>
                <w:szCs w:val="20"/>
                <w:color w:val="auto"/>
              </w:rPr>
            </w:pPr>
            <w:r>
              <w:rPr>
                <w:rFonts w:ascii="Times New Roman" w:cs="Times New Roman" w:eastAsia="Times New Roman" w:hAnsi="Times New Roman"/>
                <w:sz w:val="11"/>
                <w:szCs w:val="11"/>
                <w:b w:val="1"/>
                <w:bCs w:val="1"/>
                <w:color w:val="auto"/>
                <w:w w:val="99"/>
              </w:rPr>
              <w:t>March 29,</w:t>
            </w:r>
          </w:p>
        </w:tc>
        <w:tc>
          <w:tcPr>
            <w:tcW w:w="1040" w:type="dxa"/>
            <w:vAlign w:val="bottom"/>
            <w:gridSpan w:val="3"/>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1040" w:type="dxa"/>
            <w:vAlign w:val="bottom"/>
            <w:gridSpan w:val="3"/>
          </w:tcPr>
          <w:p>
            <w:pPr>
              <w:jc w:val="center"/>
              <w:ind w:right="400"/>
              <w:spacing w:after="0" w:line="115" w:lineRule="exact"/>
              <w:rPr>
                <w:sz w:val="20"/>
                <w:szCs w:val="20"/>
                <w:color w:val="auto"/>
              </w:rPr>
            </w:pPr>
            <w:r>
              <w:rPr>
                <w:rFonts w:ascii="Times New Roman" w:cs="Times New Roman" w:eastAsia="Times New Roman" w:hAnsi="Times New Roman"/>
                <w:sz w:val="11"/>
                <w:szCs w:val="11"/>
                <w:b w:val="1"/>
                <w:bCs w:val="1"/>
                <w:color w:val="auto"/>
                <w:w w:val="99"/>
              </w:rPr>
              <w:t>December 31,</w:t>
            </w:r>
          </w:p>
        </w:tc>
        <w:tc>
          <w:tcPr>
            <w:tcW w:w="860" w:type="dxa"/>
            <w:vAlign w:val="bottom"/>
            <w:gridSpan w:val="3"/>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34"/>
        </w:trPr>
        <w:tc>
          <w:tcPr>
            <w:tcW w:w="3120" w:type="dxa"/>
            <w:vAlign w:val="bottom"/>
            <w:tcBorders>
              <w:bottom w:val="single" w:sz="8" w:color="CCEEFF"/>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2026</w:t>
            </w:r>
          </w:p>
        </w:tc>
        <w:tc>
          <w:tcPr>
            <w:tcW w:w="3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4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1"/>
                <w:szCs w:val="11"/>
                <w:b w:val="1"/>
                <w:bCs w:val="1"/>
                <w:color w:val="auto"/>
              </w:rPr>
              <w:t>2023</w:t>
            </w:r>
          </w:p>
        </w:tc>
        <w:tc>
          <w:tcPr>
            <w:tcW w:w="2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12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Net income</w:t>
            </w:r>
          </w:p>
        </w:tc>
        <w:tc>
          <w:tcPr>
            <w:tcW w:w="8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  239</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  322</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1,157</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1,200</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234</w:t>
            </w: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Interest expense, net</w:t>
            </w:r>
          </w:p>
        </w:tc>
        <w:tc>
          <w:tcPr>
            <w:tcW w:w="80" w:type="dxa"/>
            <w:vAlign w:val="bottom"/>
          </w:tcPr>
          <w:p>
            <w:pPr>
              <w:spacing w:after="0"/>
              <w:rPr>
                <w:sz w:val="14"/>
                <w:szCs w:val="14"/>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210</w:t>
            </w:r>
          </w:p>
        </w:tc>
        <w:tc>
          <w:tcPr>
            <w:tcW w:w="14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812</w:t>
            </w:r>
          </w:p>
        </w:tc>
        <w:tc>
          <w:tcPr>
            <w:tcW w:w="8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864</w:t>
            </w:r>
          </w:p>
        </w:tc>
        <w:tc>
          <w:tcPr>
            <w:tcW w:w="14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976</w:t>
            </w:r>
          </w:p>
        </w:tc>
        <w:tc>
          <w:tcPr>
            <w:tcW w:w="0" w:type="dxa"/>
            <w:vAlign w:val="bottom"/>
          </w:tcPr>
          <w:p>
            <w:pPr>
              <w:spacing w:after="0"/>
              <w:rPr>
                <w:sz w:val="1"/>
                <w:szCs w:val="1"/>
                <w:color w:val="auto"/>
              </w:rPr>
            </w:pPr>
          </w:p>
        </w:tc>
      </w:tr>
      <w:tr>
        <w:trPr>
          <w:trHeight w:val="166"/>
        </w:trPr>
        <w:tc>
          <w:tcPr>
            <w:tcW w:w="3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16</w:t>
            </w: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91</w:t>
            </w: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46</w:t>
            </w: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66"/>
        </w:trPr>
        <w:tc>
          <w:tcPr>
            <w:tcW w:w="3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0" w:type="dxa"/>
            <w:vAlign w:val="bottom"/>
          </w:tcPr>
          <w:p>
            <w:pPr>
              <w:spacing w:after="0"/>
              <w:rPr>
                <w:sz w:val="14"/>
                <w:szCs w:val="14"/>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254</w:t>
            </w:r>
          </w:p>
        </w:tc>
        <w:tc>
          <w:tcPr>
            <w:tcW w:w="8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247</w:t>
            </w:r>
          </w:p>
        </w:tc>
        <w:tc>
          <w:tcPr>
            <w:tcW w:w="14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1,011</w:t>
            </w:r>
          </w:p>
        </w:tc>
        <w:tc>
          <w:tcPr>
            <w:tcW w:w="8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977</w:t>
            </w:r>
          </w:p>
        </w:tc>
        <w:tc>
          <w:tcPr>
            <w:tcW w:w="14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951</w:t>
            </w:r>
          </w:p>
        </w:tc>
        <w:tc>
          <w:tcPr>
            <w:tcW w:w="0" w:type="dxa"/>
            <w:vAlign w:val="bottom"/>
          </w:tcPr>
          <w:p>
            <w:pPr>
              <w:spacing w:after="0"/>
              <w:rPr>
                <w:sz w:val="1"/>
                <w:szCs w:val="1"/>
                <w:color w:val="auto"/>
              </w:rPr>
            </w:pPr>
          </w:p>
        </w:tc>
      </w:tr>
      <w:tr>
        <w:trPr>
          <w:trHeight w:val="166"/>
        </w:trPr>
        <w:tc>
          <w:tcPr>
            <w:tcW w:w="3120" w:type="dxa"/>
            <w:vAlign w:val="bottom"/>
            <w:shd w:val="clear" w:color="auto" w:fill="CCEEFF"/>
          </w:tcPr>
          <w:p>
            <w:pPr>
              <w:ind w:left="280"/>
              <w:spacing w:after="0" w:line="166" w:lineRule="exact"/>
              <w:rPr>
                <w:sz w:val="20"/>
                <w:szCs w:val="20"/>
                <w:color w:val="auto"/>
              </w:rPr>
            </w:pPr>
            <w:r>
              <w:rPr>
                <w:rFonts w:ascii="Times New Roman" w:cs="Times New Roman" w:eastAsia="Times New Roman" w:hAnsi="Times New Roman"/>
                <w:sz w:val="13"/>
                <w:szCs w:val="13"/>
                <w:color w:val="auto"/>
              </w:rPr>
              <w:t>Inventory-related adjustments</w:t>
            </w:r>
            <w:r>
              <w:rPr>
                <w:rFonts w:ascii="Times New Roman" w:cs="Times New Roman" w:eastAsia="Times New Roman" w:hAnsi="Times New Roman"/>
                <w:sz w:val="19"/>
                <w:szCs w:val="19"/>
                <w:color w:val="auto"/>
                <w:vertAlign w:val="superscript"/>
              </w:rPr>
              <w:t>(1)</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21</w:t>
            </w: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83</w:t>
            </w: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78</w:t>
            </w: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166"/>
        </w:trPr>
        <w:tc>
          <w:tcPr>
            <w:tcW w:w="3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0" w:type="dxa"/>
            <w:vAlign w:val="bottom"/>
          </w:tcPr>
          <w:p>
            <w:pPr>
              <w:spacing w:after="0"/>
              <w:rPr>
                <w:sz w:val="14"/>
                <w:szCs w:val="14"/>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22</w:t>
            </w:r>
          </w:p>
        </w:tc>
        <w:tc>
          <w:tcPr>
            <w:tcW w:w="14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61</w:t>
            </w:r>
          </w:p>
        </w:tc>
        <w:tc>
          <w:tcPr>
            <w:tcW w:w="14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166"/>
        </w:trPr>
        <w:tc>
          <w:tcPr>
            <w:tcW w:w="3120" w:type="dxa"/>
            <w:vAlign w:val="bottom"/>
            <w:shd w:val="clear" w:color="auto" w:fill="CCEEFF"/>
          </w:tcPr>
          <w:p>
            <w:pPr>
              <w:ind w:left="280"/>
              <w:spacing w:after="0" w:line="166" w:lineRule="exact"/>
              <w:rPr>
                <w:sz w:val="20"/>
                <w:szCs w:val="20"/>
                <w:color w:val="auto"/>
              </w:rPr>
            </w:pPr>
            <w:r>
              <w:rPr>
                <w:rFonts w:ascii="Times New Roman" w:cs="Times New Roman" w:eastAsia="Times New Roman" w:hAnsi="Times New Roman"/>
                <w:sz w:val="13"/>
                <w:szCs w:val="13"/>
                <w:color w:val="auto"/>
              </w:rPr>
              <w:t>Litigation (gains) charges, net</w:t>
            </w:r>
            <w:r>
              <w:rPr>
                <w:rFonts w:ascii="Times New Roman" w:cs="Times New Roman" w:eastAsia="Times New Roman" w:hAnsi="Times New Roman"/>
                <w:sz w:val="19"/>
                <w:szCs w:val="19"/>
                <w:color w:val="auto"/>
                <w:vertAlign w:val="superscript"/>
              </w:rPr>
              <w:t>(2)</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(34)</w:t>
            </w: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161</w:t>
            </w:r>
          </w:p>
        </w:tc>
        <w:tc>
          <w:tcPr>
            <w:tcW w:w="0" w:type="dxa"/>
            <w:vAlign w:val="bottom"/>
          </w:tcPr>
          <w:p>
            <w:pPr>
              <w:spacing w:after="0"/>
              <w:rPr>
                <w:sz w:val="1"/>
                <w:szCs w:val="1"/>
                <w:color w:val="auto"/>
              </w:rPr>
            </w:pPr>
          </w:p>
        </w:tc>
      </w:tr>
      <w:tr>
        <w:trPr>
          <w:trHeight w:val="166"/>
        </w:trPr>
        <w:tc>
          <w:tcPr>
            <w:tcW w:w="3120" w:type="dxa"/>
            <w:vAlign w:val="bottom"/>
          </w:tcPr>
          <w:p>
            <w:pPr>
              <w:ind w:left="280"/>
              <w:spacing w:after="0" w:line="166" w:lineRule="exact"/>
              <w:rPr>
                <w:sz w:val="20"/>
                <w:szCs w:val="20"/>
                <w:color w:val="auto"/>
              </w:rPr>
            </w:pPr>
            <w:r>
              <w:rPr>
                <w:rFonts w:ascii="Times New Roman" w:cs="Times New Roman" w:eastAsia="Times New Roman" w:hAnsi="Times New Roman"/>
                <w:sz w:val="13"/>
                <w:szCs w:val="13"/>
                <w:color w:val="auto"/>
              </w:rPr>
              <w:t>Transaction-related costs</w:t>
            </w:r>
            <w:r>
              <w:rPr>
                <w:rFonts w:ascii="Times New Roman" w:cs="Times New Roman" w:eastAsia="Times New Roman" w:hAnsi="Times New Roman"/>
                <w:sz w:val="19"/>
                <w:szCs w:val="19"/>
                <w:color w:val="auto"/>
                <w:vertAlign w:val="superscript"/>
              </w:rPr>
              <w:t>(3)</w:t>
            </w:r>
          </w:p>
        </w:tc>
        <w:tc>
          <w:tcPr>
            <w:tcW w:w="80" w:type="dxa"/>
            <w:vAlign w:val="bottom"/>
          </w:tcPr>
          <w:p>
            <w:pPr>
              <w:spacing w:after="0"/>
              <w:rPr>
                <w:sz w:val="14"/>
                <w:szCs w:val="14"/>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12</w:t>
            </w:r>
          </w:p>
        </w:tc>
        <w:tc>
          <w:tcPr>
            <w:tcW w:w="14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18</w:t>
            </w:r>
          </w:p>
        </w:tc>
        <w:tc>
          <w:tcPr>
            <w:tcW w:w="14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142</w:t>
            </w:r>
          </w:p>
        </w:tc>
        <w:tc>
          <w:tcPr>
            <w:tcW w:w="0" w:type="dxa"/>
            <w:vAlign w:val="bottom"/>
          </w:tcPr>
          <w:p>
            <w:pPr>
              <w:spacing w:after="0"/>
              <w:rPr>
                <w:sz w:val="1"/>
                <w:szCs w:val="1"/>
                <w:color w:val="auto"/>
              </w:rPr>
            </w:pPr>
          </w:p>
        </w:tc>
      </w:tr>
      <w:tr>
        <w:trPr>
          <w:trHeight w:val="166"/>
        </w:trPr>
        <w:tc>
          <w:tcPr>
            <w:tcW w:w="3120" w:type="dxa"/>
            <w:vAlign w:val="bottom"/>
            <w:shd w:val="clear" w:color="auto" w:fill="CCEEFF"/>
          </w:tcPr>
          <w:p>
            <w:pPr>
              <w:ind w:left="280"/>
              <w:spacing w:after="0" w:line="166" w:lineRule="exact"/>
              <w:rPr>
                <w:sz w:val="20"/>
                <w:szCs w:val="20"/>
                <w:color w:val="auto"/>
              </w:rPr>
            </w:pPr>
            <w:r>
              <w:rPr>
                <w:rFonts w:ascii="Times New Roman" w:cs="Times New Roman" w:eastAsia="Times New Roman" w:hAnsi="Times New Roman"/>
                <w:sz w:val="13"/>
                <w:szCs w:val="13"/>
                <w:color w:val="auto"/>
              </w:rPr>
              <w:t>Other non-core charges</w:t>
            </w:r>
            <w:r>
              <w:rPr>
                <w:rFonts w:ascii="Times New Roman" w:cs="Times New Roman" w:eastAsia="Times New Roman" w:hAnsi="Times New Roman"/>
                <w:sz w:val="19"/>
                <w:szCs w:val="19"/>
                <w:color w:val="auto"/>
                <w:vertAlign w:val="superscript"/>
              </w:rPr>
              <w:t>(4)</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52</w:t>
            </w: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209</w:t>
            </w: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115</w:t>
            </w: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68"/>
        </w:trPr>
        <w:tc>
          <w:tcPr>
            <w:tcW w:w="3120" w:type="dxa"/>
            <w:vAlign w:val="bottom"/>
          </w:tcPr>
          <w:p>
            <w:pPr>
              <w:spacing w:after="0"/>
              <w:rPr>
                <w:sz w:val="20"/>
                <w:szCs w:val="20"/>
                <w:color w:val="auto"/>
              </w:rPr>
            </w:pPr>
            <w:r>
              <w:rPr>
                <w:rFonts w:ascii="Times New Roman" w:cs="Times New Roman" w:eastAsia="Times New Roman" w:hAnsi="Times New Roman"/>
                <w:sz w:val="14"/>
                <w:szCs w:val="14"/>
                <w:color w:val="auto"/>
              </w:rPr>
              <w:t>Adjusted EBITDA</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776</w:t>
            </w:r>
          </w:p>
        </w:tc>
        <w:tc>
          <w:tcPr>
            <w:tcW w:w="3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868</w:t>
            </w:r>
          </w:p>
        </w:tc>
        <w:tc>
          <w:tcPr>
            <w:tcW w:w="4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3,467</w:t>
            </w:r>
          </w:p>
        </w:tc>
        <w:tc>
          <w:tcPr>
            <w:tcW w:w="4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3,361</w:t>
            </w:r>
          </w:p>
        </w:tc>
        <w:tc>
          <w:tcPr>
            <w:tcW w:w="4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2,768</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12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3"/>
                <w:szCs w:val="13"/>
                <w:color w:val="auto"/>
              </w:rPr>
              <w:t>Net income margin</w:t>
            </w:r>
            <w:r>
              <w:rPr>
                <w:rFonts w:ascii="Times New Roman" w:cs="Times New Roman" w:eastAsia="Times New Roman" w:hAnsi="Times New Roman"/>
                <w:sz w:val="19"/>
                <w:szCs w:val="19"/>
                <w:color w:val="auto"/>
                <w:vertAlign w:val="superscript"/>
              </w:rPr>
              <w:t>(5)</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4.8%</w:t>
            </w: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4.7%</w:t>
            </w: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
        </w:trPr>
        <w:tc>
          <w:tcPr>
            <w:tcW w:w="3120" w:type="dxa"/>
            <w:vAlign w:val="bottom"/>
            <w:vMerge w:val="restart"/>
          </w:tcPr>
          <w:p>
            <w:pPr>
              <w:spacing w:after="0" w:line="187" w:lineRule="exact"/>
              <w:rPr>
                <w:sz w:val="20"/>
                <w:szCs w:val="20"/>
                <w:color w:val="auto"/>
              </w:rPr>
            </w:pPr>
            <w:r>
              <w:rPr>
                <w:rFonts w:ascii="Times New Roman" w:cs="Times New Roman" w:eastAsia="Times New Roman" w:hAnsi="Times New Roman"/>
                <w:sz w:val="14"/>
                <w:szCs w:val="14"/>
                <w:color w:val="auto"/>
              </w:rPr>
              <w:t>Adjusted EBITDA Margin</w:t>
            </w:r>
            <w:r>
              <w:rPr>
                <w:rFonts w:ascii="Times New Roman" w:cs="Times New Roman" w:eastAsia="Times New Roman" w:hAnsi="Times New Roman"/>
                <w:sz w:val="20"/>
                <w:szCs w:val="20"/>
                <w:color w:val="auto"/>
                <w:vertAlign w:val="superscript"/>
              </w:rPr>
              <w:t>(5)</w:t>
            </w: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1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10.6%</w:t>
            </w:r>
          </w:p>
        </w:tc>
        <w:tc>
          <w:tcPr>
            <w:tcW w:w="8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13.1%</w:t>
            </w:r>
          </w:p>
        </w:tc>
        <w:tc>
          <w:tcPr>
            <w:tcW w:w="14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12.2%</w:t>
            </w:r>
          </w:p>
        </w:tc>
        <w:tc>
          <w:tcPr>
            <w:tcW w:w="8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13.2%</w:t>
            </w:r>
          </w:p>
        </w:tc>
        <w:tc>
          <w:tcPr>
            <w:tcW w:w="14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11.9%</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jc w:val="both"/>
        <w:ind w:left="1860" w:right="519" w:hanging="318"/>
        <w:spacing w:after="0" w:line="224" w:lineRule="auto"/>
        <w:tabs>
          <w:tab w:leader="none" w:pos="1860" w:val="left"/>
        </w:tabs>
        <w:numPr>
          <w:ilvl w:val="0"/>
          <w:numId w:val="2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inventory adjustment associated with non-cash last-in, first-out (“LIFO”) reserves. Inventory adjustments were $83 million, $53 million, and $61 million for the years ended December 31, 2025, 2024, and 2023, respectively. The years ended December 31, 2024 and 2023 also include $25 million and $90 million, respectively, of amortization of the inventory step-up resulting from acquisitions.</w:t>
      </w:r>
    </w:p>
    <w:p>
      <w:pPr>
        <w:ind w:left="1860" w:right="419" w:hanging="318"/>
        <w:spacing w:after="0" w:line="217" w:lineRule="auto"/>
        <w:tabs>
          <w:tab w:leader="none" w:pos="1860" w:val="left"/>
        </w:tabs>
        <w:numPr>
          <w:ilvl w:val="0"/>
          <w:numId w:val="2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the three months ended March 29, 2025, represents a settlement adjustment of $(8) million related to the ethylene oxide (“EtO”) litigation, $(30) million related to settlement of an intellectual property dispute, and $4 million related to other legal settlements. For the year ended December 31, 2025, represents a settlement adjustment of $(8) million related to the EtO litigation, $(43) million related to settlement of an intellectual property dispute, and $18 million related to other legal settlements. For the year ended December 31, 2024, represents $2 million one-time legal costs. For the year ended December 31, 2023, represents settlement charges of $163 million related to the EtO litigation and $3 million of other legal costs, net of $(5) million of insurance recoveries.</w:t>
      </w:r>
    </w:p>
    <w:p>
      <w:pPr>
        <w:ind w:left="1860" w:right="499" w:hanging="318"/>
        <w:spacing w:after="0" w:line="223" w:lineRule="auto"/>
        <w:tabs>
          <w:tab w:leader="none" w:pos="1860" w:val="left"/>
        </w:tabs>
        <w:numPr>
          <w:ilvl w:val="0"/>
          <w:numId w:val="2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the three months ended March 28, 2026 and March 29, 2025, respectively, includes $27 million and $4 million of expenses related to our IPO and subsequent offerings, consisting of legal, accounting, and advisory fees, as well as one-time employee bonuses, which are subject to an ongoing service requirement, and $8 million and $8 million of acquisition and integration-related costs and adjustments. For the years ended December 31, 2025 and 2024, respectively, includes $28 million and $22 million of acquisition and integration-related costs and adjustments; and $30 million and $9 million of expenses related to our IPO, consisting of legal, accounting, and advisory fees, as well as one-time employee bonuses, which are subject to an ongoing service requirement. The year ended December 31, 2024 also</w:t>
      </w:r>
    </w:p>
    <w:p>
      <w:pPr>
        <w:spacing w:after="0" w:line="23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10159"/>
          </w:cols>
          <w:pgMar w:left="300" w:top="383"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14192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393690" cy="1419225"/>
                    </a:xfrm>
                    <a:prstGeom prst="rect">
                      <a:avLst/>
                    </a:prstGeom>
                    <a:noFill/>
                  </pic:spPr>
                </pic:pic>
              </a:graphicData>
            </a:graphic>
          </wp:anchor>
        </w:drawing>
      </w:r>
    </w:p>
    <w:p>
      <w:pPr>
        <w:spacing w:after="0" w:line="359" w:lineRule="exact"/>
        <w:rPr>
          <w:sz w:val="20"/>
          <w:szCs w:val="20"/>
          <w:color w:val="auto"/>
        </w:rPr>
      </w:pPr>
    </w:p>
    <w:p>
      <w:pPr>
        <w:ind w:left="1860" w:right="459"/>
        <w:spacing w:after="0" w:line="219" w:lineRule="auto"/>
        <w:rPr>
          <w:sz w:val="20"/>
          <w:szCs w:val="20"/>
          <w:color w:val="auto"/>
        </w:rPr>
      </w:pPr>
      <w:r>
        <w:rPr>
          <w:rFonts w:ascii="Times New Roman" w:cs="Times New Roman" w:eastAsia="Times New Roman" w:hAnsi="Times New Roman"/>
          <w:sz w:val="11"/>
          <w:szCs w:val="11"/>
          <w:color w:val="auto"/>
        </w:rPr>
        <w:t>includes $(13) million one-time gain related to acquisition of equity investment. The year ended December 31, 2023 includes a one-time gain of $(75) million due to a change in valuation estimate resulting from cash collected on accounts receivable in excess of its acquisition-date fair value and $217 million of the change of control expenses related to the Sponsor Acquisition. In connection with the Sponsor Acquisition in October 2021, participants in the Medline Industries, Inc. Managing Partner Program (the “MPU Award Holders”) were entitled to receive a liquidity event payout (the “Liquidity MPU Payout”) totaling approximately $1.5 billion, with certain of these payments contingent on continued employment with the company. This payout was structured in three installments: at the closing and on the second and third anniversaries of the Sponsor Acquisition. Half of each subsequent installment was contingent on continued employment, leading to expenses of $217 million for the year ended December 31, 2023. The Liquidity MPU Payouts were unique, non-performance-related payments to the MPU Award Holders specific to the Sponsor Acquisition. As of December 31, 2023, all change of control expenses related to the Liquidity MPU Payouts have ended and no other payments will be made. For more information regarding the Liquidity MPU Payouts, please refer to “Note 17—Stock-Based Compensation” of our audited consolidated financial statements, included in our 2025 Form 10-K incorporated by reference in this prospectus.</w:t>
      </w:r>
    </w:p>
    <w:p>
      <w:pPr>
        <w:spacing w:after="0" w:line="3" w:lineRule="exact"/>
        <w:rPr>
          <w:sz w:val="20"/>
          <w:szCs w:val="20"/>
          <w:color w:val="auto"/>
        </w:rPr>
      </w:pPr>
    </w:p>
    <w:p>
      <w:pPr>
        <w:ind w:left="1860" w:right="479" w:hanging="318"/>
        <w:spacing w:after="0" w:line="217" w:lineRule="auto"/>
        <w:tabs>
          <w:tab w:leader="none" w:pos="1860" w:val="left"/>
        </w:tabs>
        <w:numPr>
          <w:ilvl w:val="0"/>
          <w:numId w:val="2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the three months ended March 28, 2026 and March 29, 2025, respectively, includes $9 million and $5 million of other project costs; $(4) million and $22 million of realized and unrealized foreign exchange and investment (gains) losses; and $(4) million and $24 million credit (recoveries) loss expense related to certain customer receivables. The three months ended March 28, 2026 also includes $8 million of losses on disposal of assets and exits. For the years ended December 31, 2025, 2024 and 2023, respectively, includes $87 million, $(6) million and $15 million of realized and unrealized foreign exchange and investment losses (gains); $5 million, $(1) million and $18 million of losses (gains) on disposal of assets and exits; and $20 million, $23 million and $18 million of other project costs. For the years ended December 31, 2025 and 2024, respectively, also includes $64 million and $56 million of loss on debt extinguishment and other refinancing costs and fees; and $31 million and $38 million credit loss expense related to certain customer receivables.</w:t>
      </w:r>
    </w:p>
    <w:p>
      <w:pPr>
        <w:ind w:left="1860" w:hanging="318"/>
        <w:spacing w:after="0"/>
        <w:tabs>
          <w:tab w:leader="none" w:pos="1860" w:val="left"/>
        </w:tabs>
        <w:numPr>
          <w:ilvl w:val="0"/>
          <w:numId w:val="2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Net income margin represents net income divided by net sales and Adjusted EBITDA Margin represents Adjusted EBITDA divided by net sales.</w:t>
      </w:r>
    </w:p>
    <w:p>
      <w:pPr>
        <w:spacing w:after="0" w:line="23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0159"/>
          </w:cols>
          <w:pgMar w:left="300" w:top="383"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2" w:lineRule="exact"/>
        <w:rPr>
          <w:sz w:val="20"/>
          <w:szCs w:val="20"/>
          <w:color w:val="auto"/>
        </w:rPr>
      </w:pPr>
    </w:p>
    <w:p>
      <w:pPr>
        <w:ind w:left="1400" w:right="399" w:firstLine="339"/>
        <w:spacing w:after="0" w:line="252" w:lineRule="auto"/>
        <w:rPr>
          <w:sz w:val="20"/>
          <w:szCs w:val="20"/>
          <w:color w:val="auto"/>
        </w:rPr>
      </w:pPr>
      <w:r>
        <w:rPr>
          <w:rFonts w:ascii="Times New Roman" w:cs="Times New Roman" w:eastAsia="Times New Roman" w:hAnsi="Times New Roman"/>
          <w:sz w:val="14"/>
          <w:szCs w:val="14"/>
          <w:i w:val="1"/>
          <w:iCs w:val="1"/>
          <w:color w:val="auto"/>
        </w:rPr>
        <w:t>Investing in our Class A common stock involves a high degree of risk. You should carefully consider the risks and uncertainties described below, as well as those contained in our 2025 Form 10-K, including the information set forth under “Item 1A—Risk Factors,” together with the other information contained or incorporated by reference in this prospectus before deciding to invest in shares of our common stock. If any of the following risks actually occur, our business, results of operation, financial condition, cash flows, and prospects may be materially adversely affected. The risks and uncertainties described below are not the only risks and uncertainties that we face. Additional risks and uncertainties not presently known to us or that we currently deem immaterial may also materially and adversely affect our business, results of operations, and financial condition. In such case, the trading price of our common stock could decline and you may lose all or part of your investment. The risks discussed below also include forward-looking statements, and our actual results may differ substantially from those discussed in these forward-looking statements. See “Forward-Looking Statements” in this prospectus.</w:t>
      </w:r>
    </w:p>
    <w:p>
      <w:pPr>
        <w:spacing w:after="0" w:line="22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Risks Related to this Offering</w:t>
      </w:r>
    </w:p>
    <w:p>
      <w:pPr>
        <w:spacing w:after="0" w:line="89" w:lineRule="exact"/>
        <w:rPr>
          <w:sz w:val="20"/>
          <w:szCs w:val="20"/>
          <w:color w:val="auto"/>
        </w:rPr>
      </w:pPr>
    </w:p>
    <w:p>
      <w:pPr>
        <w:ind w:left="1400" w:right="41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The Designating Stockholders will continue to hold a significant percentage of our stock, and their interests may conflict with ours or yours in the future.</w:t>
      </w:r>
    </w:p>
    <w:p>
      <w:pPr>
        <w:spacing w:after="0" w:line="41" w:lineRule="exact"/>
        <w:rPr>
          <w:sz w:val="20"/>
          <w:szCs w:val="20"/>
          <w:color w:val="auto"/>
        </w:rPr>
      </w:pPr>
    </w:p>
    <w:p>
      <w:pPr>
        <w:ind w:left="1400" w:right="379" w:firstLine="339"/>
        <w:spacing w:after="0" w:line="275" w:lineRule="auto"/>
        <w:rPr>
          <w:sz w:val="20"/>
          <w:szCs w:val="20"/>
          <w:color w:val="auto"/>
        </w:rPr>
      </w:pPr>
      <w:r>
        <w:rPr>
          <w:rFonts w:ascii="Times New Roman" w:cs="Times New Roman" w:eastAsia="Times New Roman" w:hAnsi="Times New Roman"/>
          <w:sz w:val="13"/>
          <w:szCs w:val="13"/>
          <w:color w:val="auto"/>
        </w:rPr>
        <w:t>Immediately following this offering, the Designating Stockholders will beneficially own or control approximately 56.4% of the combined voting power of our shares eligible to vote in the election of our directors (or 55.8% if the underwriters exercise in full their option to purchase additional shares of Class A common stock). Moreover, we have agreed to nominate to our board individuals designated by the Designating Stockholders</w:t>
      </w:r>
    </w:p>
    <w:p>
      <w:pPr>
        <w:ind w:left="1400" w:right="279"/>
        <w:spacing w:after="0" w:line="248" w:lineRule="auto"/>
        <w:rPr>
          <w:sz w:val="20"/>
          <w:szCs w:val="20"/>
          <w:color w:val="auto"/>
        </w:rPr>
      </w:pPr>
      <w:r>
        <w:rPr>
          <w:rFonts w:ascii="Times New Roman" w:cs="Times New Roman" w:eastAsia="Times New Roman" w:hAnsi="Times New Roman"/>
          <w:sz w:val="14"/>
          <w:szCs w:val="14"/>
          <w:color w:val="auto"/>
        </w:rPr>
        <w:t>in accordance with the director nomination agreements we entered into in connection with our IPO. The Designating Stockholders retain the right to designate directors subject to the maintenance of certain ownership requirements in us. See “Part III—Item 13—Certain Relationships and Related Transactions, and Director Independence” in our 2025 Form 10-K incorporated by reference in this prospectus. For so long as the Designating Stockholders continue to own a significant percentage of our stock, they will still be able to significantly influence the composition of our board of directors and the approval of actions requiring stockholder approval through their voting power. Accordingly, for such period of time, the Designating Stockholders will have significant influence with respect to our management, business plans, and policies, including the appointment and removal of our officers. In particular, for so long as the Designating Stockholders continue to own a significant percentage of our stock, the Designating Stockholders may be able to prevent a change of control of our company or a change in the composition of our board of directors and could preclude any unsolicited acquisition of our company. The concentration of ownership could deprive you of an opportunity to receive a premium for your shares of Class A common stock as part of a sale of our company and ultimately might affect the market price of our Class A common stock.</w:t>
      </w:r>
    </w:p>
    <w:p>
      <w:pPr>
        <w:spacing w:after="0" w:line="151" w:lineRule="exact"/>
        <w:rPr>
          <w:sz w:val="20"/>
          <w:szCs w:val="20"/>
          <w:color w:val="auto"/>
        </w:rPr>
      </w:pPr>
    </w:p>
    <w:p>
      <w:pPr>
        <w:ind w:left="1400" w:right="299" w:firstLine="339"/>
        <w:spacing w:after="0" w:line="251" w:lineRule="auto"/>
        <w:rPr>
          <w:sz w:val="20"/>
          <w:szCs w:val="20"/>
          <w:color w:val="auto"/>
        </w:rPr>
      </w:pPr>
      <w:r>
        <w:rPr>
          <w:rFonts w:ascii="Times New Roman" w:cs="Times New Roman" w:eastAsia="Times New Roman" w:hAnsi="Times New Roman"/>
          <w:sz w:val="14"/>
          <w:szCs w:val="14"/>
          <w:color w:val="auto"/>
        </w:rPr>
        <w:t>In addition, immediately following this offering, the Continuing Common Unitholders (which include certain interests held by our Principal Stockholders) will own 33.8% of the Common Units (or 33.6% if the underwriters exercise in full their option to purchase additional shares of Class A common stock). Because they hold their ownership interest in our business directly in Medline Holdings, rather than through Medline Inc., the Continuing Common Unitholders may have conflicting interests with holders of shares of our Class A common stock. For example, if Medline Holdings makes distributions to Medline Inc., the Continuing Common Unitholders and participating Continuing Incentive Unitholders (as described below) will also be entitled to receive such distributions pro rata in accordance with the percentages of their respective Common Units or Incentive Units, as applicable, in Medline Holdings and their preferences as to the timing and amount of any such distributions may differ from those of our public stockholders. Incentive Units initially will not be entitled to receive distributions (other than tax distributions) until holders of Common Units have received a minimum return as provided in the amended and restated limited partnership agreement of Medline Holdings. However, Incentive Units will have the benefit of adjustment provisions that will reduce the participation threshold for</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10159"/>
          </w:cols>
          <w:pgMar w:left="300" w:top="383"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99"/>
        <w:spacing w:after="0" w:line="251" w:lineRule="auto"/>
        <w:rPr>
          <w:sz w:val="20"/>
          <w:szCs w:val="20"/>
          <w:color w:val="auto"/>
        </w:rPr>
      </w:pPr>
      <w:r>
        <w:rPr>
          <w:rFonts w:ascii="Times New Roman" w:cs="Times New Roman" w:eastAsia="Times New Roman" w:hAnsi="Times New Roman"/>
          <w:sz w:val="14"/>
          <w:szCs w:val="14"/>
          <w:color w:val="auto"/>
        </w:rPr>
        <w:t>distributions in respect of which they do not participate until there is no participation threshold, at and after which time the Incentive Units would participate pro rata with distributions on Common Units. Although our Designating Stockholders are not holders of Incentive Units, our Named Executive Officers will hold a significant amount of Incentive Units which could create conflicts or misalignment of interest with the Continuing Common Unitholders and holders of shares of our Class A common stock. The pre-IPO owners may also have different tax positions from Medline Inc., which could influence their decisions regarding whether and when to dispose of assets, especially in light of the tax receivable agreement that we entered into in connection with our IPO, and whether and when to incur new or refinance existing indebtedness. In addition, the structuring of future transactions may take into consideration our pre-IPO owners’ tax or other considerations even where no similar benefit would accrue to us. See “Part III —Item 13—Certain Relationships and Related Transactions, and Director Independence” in our 2025 Form 10-K incorporated by reference in this prospectus.</w:t>
      </w:r>
    </w:p>
    <w:p>
      <w:pPr>
        <w:spacing w:after="0" w:line="230" w:lineRule="exact"/>
        <w:rPr>
          <w:sz w:val="20"/>
          <w:szCs w:val="20"/>
          <w:color w:val="auto"/>
        </w:rPr>
      </w:pPr>
    </w:p>
    <w:p>
      <w:pPr>
        <w:ind w:left="1400" w:right="439"/>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The underwriters have agreed to release, with respect to this offering, the lock-up restrictions agreed to in connection with the IPO with respect to certain parties and may again waive lockup restrictions with respect to our securities in the future, which could adversely affect the price of our Class A common stock.</w:t>
      </w:r>
    </w:p>
    <w:p>
      <w:pPr>
        <w:spacing w:after="0" w:line="53" w:lineRule="exact"/>
        <w:rPr>
          <w:sz w:val="20"/>
          <w:szCs w:val="20"/>
          <w:color w:val="auto"/>
        </w:rPr>
      </w:pPr>
    </w:p>
    <w:p>
      <w:pPr>
        <w:ind w:left="1400" w:right="279" w:firstLine="339"/>
        <w:spacing w:after="0" w:line="253" w:lineRule="auto"/>
        <w:rPr>
          <w:sz w:val="20"/>
          <w:szCs w:val="20"/>
          <w:color w:val="auto"/>
        </w:rPr>
      </w:pPr>
      <w:r>
        <w:rPr>
          <w:rFonts w:ascii="Times New Roman" w:cs="Times New Roman" w:eastAsia="Times New Roman" w:hAnsi="Times New Roman"/>
          <w:sz w:val="14"/>
          <w:szCs w:val="14"/>
          <w:color w:val="auto"/>
        </w:rPr>
        <w:t>In connection with the IPO, we, our officers, directors, and our pre-IPO owners agreed with the underwriters, subject to certain exceptions, not to dispose of or hedge any shares of Class A common stock or securities convertible into or exchangeable for shares of Class A common stock for a period of 180 days following December 16, 2025. Goldman Sachs &amp; Co. LLC and Morgan Stanley &amp; Co. LLC, as representatives of the underwriters, have agreed to release the lockup restrictions applicable to the Company and the selling stockholders pursuant to such lock-up agreements with respect to the shares of Class A common stock being sold in this offering. The underwriters may waive or release the lock-up restrictions contained in such agreements or the lock-up agreements entered into in connection with this offering in the future, which could cause the market price of our Class A common stock to decline and impair our ability to raise capital.</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10159"/>
          </w:cols>
          <w:pgMar w:left="300" w:top="383"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74" w:lineRule="exact"/>
        <w:rPr>
          <w:sz w:val="20"/>
          <w:szCs w:val="20"/>
          <w:color w:val="auto"/>
        </w:rPr>
      </w:pPr>
    </w:p>
    <w:p>
      <w:pPr>
        <w:ind w:left="1400" w:right="299" w:firstLine="339"/>
        <w:spacing w:after="0" w:line="251" w:lineRule="auto"/>
        <w:rPr>
          <w:sz w:val="20"/>
          <w:szCs w:val="20"/>
          <w:color w:val="auto"/>
        </w:rPr>
      </w:pPr>
      <w:r>
        <w:rPr>
          <w:rFonts w:ascii="Times New Roman" w:cs="Times New Roman" w:eastAsia="Times New Roman" w:hAnsi="Times New Roman"/>
          <w:sz w:val="14"/>
          <w:szCs w:val="14"/>
          <w:color w:val="auto"/>
        </w:rPr>
        <w:t>This prospectus contains or incorporates by reference forward-looking statements that reflect our current views with respect to, among other things, our operations, our financial performance, and our industry. Forward-looking statements include all statements that are not historical facts. These forward-looking statements are included throughout this prospectus, including in the sections entitled “Summary” and “Risk Factors” herein and in our 2025 Form 10-K, as such factors may be updated from time to time in our periodic filings with the SEC, as well as the other information contained or incorporated by reference in this prospectus, and relate to matters such as our industry, business strategy, goals and expectations concerning our market position, future operations, margins, profitability, capital expenditures, liquidity and capital resources, and other financial and operating information. We may, in some cases, use words such as “anticipate,” “assume,” “believe” “contemplate,” “continue,” “could,” “estimate,” “expect,” “foreseeable,” “intend,” “may,” “plan,” “potentially,” “predict,” “project,” “seek,” “should,” “will,” or “would,” or similar words or phrases that convey uncertainty of future events or outcomes, to identify forward-looking statements included or incorporated by reference in this prospectus. Factors that may cause actual results to differ from expected results include:</w:t>
      </w:r>
    </w:p>
    <w:p>
      <w:pPr>
        <w:spacing w:after="0" w:line="74" w:lineRule="exact"/>
        <w:rPr>
          <w:sz w:val="20"/>
          <w:szCs w:val="20"/>
          <w:color w:val="auto"/>
        </w:rPr>
      </w:pPr>
    </w:p>
    <w:p>
      <w:pPr>
        <w:ind w:left="2160" w:right="599" w:hanging="342"/>
        <w:spacing w:after="0" w:line="318" w:lineRule="auto"/>
        <w:tabs>
          <w:tab w:leader="none" w:pos="216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reliance on the proper function, security, and availability of our information technology systems and data, as well as those of third parties throughout our global supply chain, and the impact of a breach, cyber-attack, or other disruption to these systems or data;</w:t>
      </w:r>
    </w:p>
    <w:p>
      <w:pPr>
        <w:spacing w:after="0" w:line="30" w:lineRule="exact"/>
        <w:rPr>
          <w:rFonts w:ascii="Times New Roman" w:cs="Times New Roman" w:eastAsia="Times New Roman" w:hAnsi="Times New Roman"/>
          <w:sz w:val="13"/>
          <w:szCs w:val="13"/>
          <w:color w:val="auto"/>
        </w:rPr>
      </w:pPr>
    </w:p>
    <w:p>
      <w:pPr>
        <w:ind w:left="2160" w:hanging="342"/>
        <w:spacing w:after="0"/>
        <w:tabs>
          <w:tab w:leader="none" w:pos="2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inherent risks in our global operations;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comply with extensive and complex laws and governmental regulations and the cost of adverse regulatory actions;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compliance with environmental, health, and safety requirements;</w:t>
      </w:r>
    </w:p>
    <w:p>
      <w:pPr>
        <w:spacing w:after="0" w:line="98" w:lineRule="exact"/>
        <w:rPr>
          <w:rFonts w:ascii="Times New Roman" w:cs="Times New Roman" w:eastAsia="Times New Roman" w:hAnsi="Times New Roman"/>
          <w:sz w:val="14"/>
          <w:szCs w:val="14"/>
          <w:color w:val="auto"/>
        </w:rPr>
      </w:pPr>
    </w:p>
    <w:p>
      <w:pPr>
        <w:ind w:left="2160" w:right="359" w:hanging="342"/>
        <w:spacing w:after="0" w:line="278" w:lineRule="auto"/>
        <w:tabs>
          <w:tab w:leader="none" w:pos="2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realize the expected benefits from the entry into new or amended contracts, planned cost savings, and business improvement initiatives;</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consolidation in the healthcare industry;</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foreign currency exchange rate fluctuations;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inflationary pressures;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uncertain global macro-economic and political conditions;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government-imposed import policies, tariffs, and legislation;</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competition and accelerating price pressure in our markets;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comply with anti-bribery laws, anti-corruption laws, and those laws and regulations pertaining to economic sanctions;</w:t>
      </w:r>
    </w:p>
    <w:p>
      <w:pPr>
        <w:spacing w:after="0" w:line="98" w:lineRule="exact"/>
        <w:rPr>
          <w:rFonts w:ascii="Times New Roman" w:cs="Times New Roman" w:eastAsia="Times New Roman" w:hAnsi="Times New Roman"/>
          <w:sz w:val="14"/>
          <w:szCs w:val="14"/>
          <w:color w:val="auto"/>
        </w:rPr>
      </w:pPr>
    </w:p>
    <w:p>
      <w:pPr>
        <w:ind w:left="2160" w:right="659" w:hanging="342"/>
        <w:spacing w:after="0" w:line="278" w:lineRule="auto"/>
        <w:tabs>
          <w:tab w:leader="none" w:pos="2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and the ability of third parties we work with to comply with complex and rapidly evolving data privacy, security, and data protection laws and regulations;</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risks of increasing use of artificial intelligence, automated decision-making and machine learning technology;</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tax legislation and audits by tax authorities;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to the U.S. and global healthcare environments;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reliance on third-party manufacturers, certain significant suppliers and third-party shippers;</w:t>
      </w:r>
    </w:p>
    <w:p>
      <w:pPr>
        <w:spacing w:after="0" w:line="98" w:lineRule="exact"/>
        <w:rPr>
          <w:rFonts w:ascii="Times New Roman" w:cs="Times New Roman" w:eastAsia="Times New Roman" w:hAnsi="Times New Roman"/>
          <w:sz w:val="14"/>
          <w:szCs w:val="14"/>
          <w:color w:val="auto"/>
        </w:rPr>
      </w:pPr>
    </w:p>
    <w:p>
      <w:pPr>
        <w:ind w:left="2160" w:right="1079" w:hanging="342"/>
        <w:spacing w:after="0" w:line="278" w:lineRule="auto"/>
        <w:tabs>
          <w:tab w:leader="none" w:pos="2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price fluctuations of key commodities and other factors of production including labor and transportation on our manufacturing business;</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significant challenges or delays in the Company’s sourcing of new products and technologies;</w:t>
      </w:r>
    </w:p>
    <w:p>
      <w:pPr>
        <w:spacing w:after="0" w:line="1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10159"/>
          </w:cols>
          <w:pgMar w:left="300" w:top="383"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2160" w:hanging="342"/>
        <w:spacing w:after="0"/>
        <w:tabs>
          <w:tab w:leader="none" w:pos="21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concentration in and dependence on certain healthcare provider customers and group purchasing organizations;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develop and retain key employees;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reliance on the proper functioning of critical facilities and distribution networks;</w:t>
      </w:r>
    </w:p>
    <w:p>
      <w:pPr>
        <w:spacing w:after="0" w:line="98" w:lineRule="exact"/>
        <w:rPr>
          <w:rFonts w:ascii="Times New Roman" w:cs="Times New Roman" w:eastAsia="Times New Roman" w:hAnsi="Times New Roman"/>
          <w:sz w:val="14"/>
          <w:szCs w:val="14"/>
          <w:color w:val="auto"/>
        </w:rPr>
      </w:pPr>
    </w:p>
    <w:p>
      <w:pPr>
        <w:ind w:left="2160" w:right="319" w:hanging="342"/>
        <w:spacing w:after="0" w:line="278" w:lineRule="auto"/>
        <w:tabs>
          <w:tab w:leader="none" w:pos="21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litigation brought by third parties claiming infringement, misappropriation, or other violation by us of their intellectual property rights;</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requirements to recognize impairment charges related to goodwill, identified intangible assets, and fixed assets;</w:t>
      </w:r>
    </w:p>
    <w:p>
      <w:pPr>
        <w:spacing w:after="0" w:line="98" w:lineRule="exact"/>
        <w:rPr>
          <w:rFonts w:ascii="Times New Roman" w:cs="Times New Roman" w:eastAsia="Times New Roman" w:hAnsi="Times New Roman"/>
          <w:sz w:val="14"/>
          <w:szCs w:val="14"/>
          <w:color w:val="auto"/>
        </w:rPr>
      </w:pPr>
    </w:p>
    <w:p>
      <w:pPr>
        <w:ind w:left="2160" w:right="299" w:hanging="342"/>
        <w:spacing w:after="0" w:line="278" w:lineRule="auto"/>
        <w:tabs>
          <w:tab w:leader="none" w:pos="21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derive fully the anticipated benefits from our existing or future acquisitions, joint ventures, investments, dispositions, or other strategic transactions;</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quality problems, recalls, and product liability claims;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climate change and legal, regulatory, and market measures to address climate change;</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aspirations, goals, and disclosures related to ESG and sustainability matters;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unfavorable outcome of legal proceedings we are involved in;</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comply with laws and regulations relating to reimbursement of healthcare goods and services;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and the ability of third parties we work with to reduce expenses if we experience decreasing prices for our goods and services;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adequacy of our insurance program to cover future losses;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maintain, protect, and enforce our intellectual property rights;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dependence on positive perceptions of our reputation;</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substantial indebtedness and ability to incur substantially more debt;</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exposure to the financial risks associated with interest rate fluctuations on our variable rate debt;</w:t>
      </w:r>
    </w:p>
    <w:p>
      <w:pPr>
        <w:spacing w:after="0" w:line="98" w:lineRule="exact"/>
        <w:rPr>
          <w:rFonts w:ascii="Times New Roman" w:cs="Times New Roman" w:eastAsia="Times New Roman" w:hAnsi="Times New Roman"/>
          <w:sz w:val="14"/>
          <w:szCs w:val="14"/>
          <w:color w:val="auto"/>
        </w:rPr>
      </w:pPr>
    </w:p>
    <w:p>
      <w:pPr>
        <w:ind w:left="2160" w:right="319" w:hanging="342"/>
        <w:spacing w:after="0" w:line="278" w:lineRule="auto"/>
        <w:tabs>
          <w:tab w:leader="none" w:pos="21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restrictive covenants in our debt agreements, which may restrict our ability to pursue our business strategies and our ability to comply with them; and</w:t>
      </w:r>
    </w:p>
    <w:p>
      <w:pPr>
        <w:spacing w:after="0" w:line="53" w:lineRule="exact"/>
        <w:rPr>
          <w:rFonts w:ascii="Times New Roman" w:cs="Times New Roman" w:eastAsia="Times New Roman" w:hAnsi="Times New Roman"/>
          <w:sz w:val="14"/>
          <w:szCs w:val="14"/>
          <w:color w:val="auto"/>
        </w:rPr>
      </w:pPr>
    </w:p>
    <w:p>
      <w:pPr>
        <w:ind w:left="2160" w:right="439" w:hanging="342"/>
        <w:spacing w:after="0" w:line="278" w:lineRule="auto"/>
        <w:tabs>
          <w:tab w:leader="none" w:pos="21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factors discussed under “Risk Factors” herein and in our 2025 Form 10-K, as well as contained or incorporated by reference in this prospectus.</w:t>
      </w:r>
    </w:p>
    <w:p>
      <w:pPr>
        <w:spacing w:after="0" w:line="126" w:lineRule="exact"/>
        <w:rPr>
          <w:sz w:val="20"/>
          <w:szCs w:val="20"/>
          <w:color w:val="auto"/>
        </w:rPr>
      </w:pPr>
    </w:p>
    <w:p>
      <w:pPr>
        <w:ind w:left="1400" w:right="279" w:firstLine="339"/>
        <w:spacing w:after="0" w:line="251" w:lineRule="auto"/>
        <w:rPr>
          <w:sz w:val="20"/>
          <w:szCs w:val="20"/>
          <w:color w:val="auto"/>
        </w:rPr>
      </w:pPr>
      <w:r>
        <w:rPr>
          <w:rFonts w:ascii="Times New Roman" w:cs="Times New Roman" w:eastAsia="Times New Roman" w:hAnsi="Times New Roman"/>
          <w:sz w:val="14"/>
          <w:szCs w:val="14"/>
          <w:color w:val="auto"/>
        </w:rPr>
        <w:t>The forward-looking statements contained or incorporated by reference in this prospectus are based on management’s current expectations and are subject to uncertainty and changes in circumstances. Although we believe that the assumptions underlying the forward-looking statements are reasonable, we cannot guarantee future results, level of activity, performance, or achievements. There are a number of factors, many of which are beyond our control, that could cause actual results to differ materially from the results anticipated by these forward-looking statements. For a more detailed discussion of these and other factors, see the information under the section “Risk Factors” herein and in our 2025 Form 10-K, as well as “Part I —Item 2—Management’s Discussion and Analysis of Financial Condition and Results of Operations” in our 2026 Q1 Form 10-Q and “Part II—Item 7 —Management’s Discussion and Analysis of Financial Condition and Results of Operations” included in our 2025 Form 10-K, in each case incorporated by reference in this prospectus. These factors should not be construed as exhaustive and should be read in conjunction with the other cautionary statements that are included or incorporated by reference in this prospectus. Should one or more of these risks or uncertainties materialize, or should any of our assumptions prove incorrect, our actual results may vary in material respects from those expressed or implied in these forward-looking statements.</w:t>
      </w:r>
    </w:p>
    <w:p>
      <w:pPr>
        <w:spacing w:after="0" w:line="144" w:lineRule="exact"/>
        <w:rPr>
          <w:sz w:val="20"/>
          <w:szCs w:val="20"/>
          <w:color w:val="auto"/>
        </w:rPr>
      </w:pPr>
    </w:p>
    <w:p>
      <w:pPr>
        <w:ind w:left="1400" w:right="439" w:firstLine="339"/>
        <w:spacing w:after="0" w:line="278" w:lineRule="auto"/>
        <w:rPr>
          <w:sz w:val="20"/>
          <w:szCs w:val="20"/>
          <w:color w:val="auto"/>
        </w:rPr>
      </w:pPr>
      <w:r>
        <w:rPr>
          <w:rFonts w:ascii="Times New Roman" w:cs="Times New Roman" w:eastAsia="Times New Roman" w:hAnsi="Times New Roman"/>
          <w:sz w:val="14"/>
          <w:szCs w:val="14"/>
          <w:color w:val="auto"/>
        </w:rPr>
        <w:t>The forward-looking statements included or incorporated by reference in this prospectus speak only as of the date of this prospectus or as of the date they are made, as applicable. Factors or events that could cause our</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10159"/>
          </w:cols>
          <w:pgMar w:left="300" w:top="383"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19"/>
        <w:spacing w:after="0" w:line="254" w:lineRule="auto"/>
        <w:rPr>
          <w:sz w:val="20"/>
          <w:szCs w:val="20"/>
          <w:color w:val="auto"/>
        </w:rPr>
      </w:pPr>
      <w:r>
        <w:rPr>
          <w:rFonts w:ascii="Times New Roman" w:cs="Times New Roman" w:eastAsia="Times New Roman" w:hAnsi="Times New Roman"/>
          <w:sz w:val="14"/>
          <w:szCs w:val="14"/>
          <w:color w:val="auto"/>
        </w:rPr>
        <w:t>actual results to differ may emerge from time to time, and it is not possible for us to predict all of them.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investments, or other strategic transactions we may make. Except as otherwise required by law, we disclaim any intent or obligation to update any “forward-looking statement” made or incorporated by reference in this prospectus to reflect changed assumptions, the occurrence of unanticipated events, or changes to future operating results over time.</w:t>
      </w:r>
    </w:p>
    <w:p>
      <w:pPr>
        <w:spacing w:after="0" w:line="3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MARKET AND INDUSTRY DATA</w:t>
      </w:r>
    </w:p>
    <w:p>
      <w:pPr>
        <w:spacing w:after="0" w:line="174" w:lineRule="exact"/>
        <w:rPr>
          <w:sz w:val="20"/>
          <w:szCs w:val="20"/>
          <w:color w:val="auto"/>
        </w:rPr>
      </w:pPr>
    </w:p>
    <w:p>
      <w:pPr>
        <w:ind w:left="1400" w:right="459" w:firstLine="339"/>
        <w:spacing w:after="0" w:line="254" w:lineRule="auto"/>
        <w:rPr>
          <w:sz w:val="20"/>
          <w:szCs w:val="20"/>
          <w:color w:val="auto"/>
        </w:rPr>
      </w:pPr>
      <w:r>
        <w:rPr>
          <w:rFonts w:ascii="Times New Roman" w:cs="Times New Roman" w:eastAsia="Times New Roman" w:hAnsi="Times New Roman"/>
          <w:sz w:val="14"/>
          <w:szCs w:val="14"/>
          <w:color w:val="auto"/>
        </w:rPr>
        <w:t>This prospectus and the documents incorporated by reference herein include market and industry data and forecasts that we have derived from independent consultant reports, publicly available information, various independent industry publications, other independent sources, and our internal data, surveys, and estimates. Independent consultant reports, independent industry publications, and other independent sources generally indicate that the information contained therein was obtained from sources believed to be reliable. Additionally, you should assume that any such information in documents that we have incorporated by reference is derived from sources and internal data and estimates available as of the date of such document incorporated by reference.</w:t>
      </w:r>
    </w:p>
    <w:p>
      <w:pPr>
        <w:spacing w:after="0" w:line="142" w:lineRule="exact"/>
        <w:rPr>
          <w:sz w:val="20"/>
          <w:szCs w:val="20"/>
          <w:color w:val="auto"/>
        </w:rPr>
      </w:pPr>
    </w:p>
    <w:p>
      <w:pPr>
        <w:ind w:left="1400" w:right="359" w:firstLine="339"/>
        <w:spacing w:after="0" w:line="251" w:lineRule="auto"/>
        <w:rPr>
          <w:sz w:val="20"/>
          <w:szCs w:val="20"/>
          <w:color w:val="auto"/>
        </w:rPr>
      </w:pPr>
      <w:r>
        <w:rPr>
          <w:rFonts w:ascii="Times New Roman" w:cs="Times New Roman" w:eastAsia="Times New Roman" w:hAnsi="Times New Roman"/>
          <w:sz w:val="14"/>
          <w:szCs w:val="14"/>
          <w:color w:val="auto"/>
        </w:rPr>
        <w:t>Although we believe that these third-party sources are reliable, we do not guarantee the accuracy or completeness of this information, and neither we nor the underwriters have independently verified this information. Some market data and statistical information are also based on our good faith estimates, which are derived from management’s knowledge of our industry and such independent sources referred to above. Certain market, ranking, and industry data included elsewhere or incorporated by reference in this prospectus, including the size of certain markets and our size or position and the positions of our competitors within these markets, including our services relative to our competitors, are based on estimates of our management. These estimates have been derived from our management’s knowledge and experience in the markets in which we operate, as well as information obtained from surveys, reports by market research firms, our customers, distributors, suppliers, trade and business organizations, and other contacts in the markets in which we operate and have not been verified by independent sources. Our internal data and estimates are based upon information obtained from trade and business organizations and other contacts in the markets in which we operate, internal surveys, and our management’s understanding of industry conditions. Although we believe that such information is reliable, we have not had this information verified by any independent sources.</w:t>
      </w:r>
    </w:p>
    <w:p>
      <w:pPr>
        <w:spacing w:after="0" w:line="144" w:lineRule="exact"/>
        <w:rPr>
          <w:sz w:val="20"/>
          <w:szCs w:val="20"/>
          <w:color w:val="auto"/>
        </w:rPr>
      </w:pPr>
    </w:p>
    <w:p>
      <w:pPr>
        <w:ind w:left="1400" w:right="319" w:firstLine="339"/>
        <w:spacing w:after="0" w:line="254" w:lineRule="auto"/>
        <w:rPr>
          <w:sz w:val="20"/>
          <w:szCs w:val="20"/>
          <w:color w:val="auto"/>
        </w:rPr>
      </w:pPr>
      <w:r>
        <w:rPr>
          <w:rFonts w:ascii="Times New Roman" w:cs="Times New Roman" w:eastAsia="Times New Roman" w:hAnsi="Times New Roman"/>
          <w:sz w:val="14"/>
          <w:szCs w:val="14"/>
          <w:color w:val="auto"/>
        </w:rPr>
        <w:t>In addition, assumptions and estimates of our and our industry’s future performance are subject to a high degree of uncertainty and risk due to a variety of factors, including those described in “Risk Factors” herein and in our 2025 Form 10-K. These and other factors could cause our future performance to differ materially from our assumptions and estimates. See “Forward-Looking Statements.” As a result, you should be aware that market, ranking, and other similar industry data included or incorporated by reference in this prospectus, and estimates and beliefs based on that data, may not be reliable. Neither we nor the underwriters can guarantee the accuracy or completeness of any such information contained or incorporated by reference in this prospectus.</w:t>
      </w:r>
    </w:p>
    <w:p>
      <w:pPr>
        <w:spacing w:after="0" w:line="142" w:lineRule="exact"/>
        <w:rPr>
          <w:sz w:val="20"/>
          <w:szCs w:val="20"/>
          <w:color w:val="auto"/>
        </w:rPr>
      </w:pPr>
    </w:p>
    <w:p>
      <w:pPr>
        <w:ind w:left="1400" w:right="279" w:firstLine="339"/>
        <w:spacing w:after="0" w:line="284" w:lineRule="auto"/>
        <w:rPr>
          <w:sz w:val="20"/>
          <w:szCs w:val="20"/>
          <w:color w:val="auto"/>
        </w:rPr>
      </w:pPr>
      <w:r>
        <w:rPr>
          <w:rFonts w:ascii="Times New Roman" w:cs="Times New Roman" w:eastAsia="Times New Roman" w:hAnsi="Times New Roman"/>
          <w:sz w:val="13"/>
          <w:szCs w:val="13"/>
          <w:color w:val="auto"/>
        </w:rPr>
        <w:t>Statements regarding our market position (including statements that we are the largest company in a particular market), unless otherwise noted, are based on our 2025 net sales in the relevant market relative to the publicly reported net sales of our competitors in such market, including with respect to our statement of being the largest provider of med-surg products and supply chain solutions serving all points of care, as that statement is based on our 2025 net sales relative to the publicly reported net sales of med-surg products by companies that are both med-surg manufacturers and distributors.</w:t>
      </w:r>
    </w:p>
    <w:p>
      <w:pPr>
        <w:spacing w:after="0" w:line="124" w:lineRule="exact"/>
        <w:rPr>
          <w:sz w:val="20"/>
          <w:szCs w:val="20"/>
          <w:color w:val="auto"/>
        </w:rPr>
      </w:pPr>
    </w:p>
    <w:p>
      <w:pPr>
        <w:jc w:val="both"/>
        <w:ind w:left="1400" w:right="439" w:firstLine="339"/>
        <w:spacing w:after="0" w:line="263" w:lineRule="auto"/>
        <w:rPr>
          <w:sz w:val="20"/>
          <w:szCs w:val="20"/>
          <w:color w:val="auto"/>
        </w:rPr>
      </w:pPr>
      <w:r>
        <w:rPr>
          <w:rFonts w:ascii="Times New Roman" w:cs="Times New Roman" w:eastAsia="Times New Roman" w:hAnsi="Times New Roman"/>
          <w:sz w:val="14"/>
          <w:szCs w:val="14"/>
          <w:color w:val="auto"/>
        </w:rPr>
        <w:t>We define our TAM as the U.S. and international med-surg markets and calculate our TAM based on our customer footprint, competencies, and commercial strategy. As a result, our TAM figures exclude categories that could otherwise be considered as potentially addressable because we do not have current plans to directly pursue</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10159"/>
          </w:cols>
          <w:pgMar w:left="300" w:top="383"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419"/>
        <w:spacing w:after="0" w:line="258" w:lineRule="auto"/>
        <w:rPr>
          <w:sz w:val="20"/>
          <w:szCs w:val="20"/>
          <w:color w:val="auto"/>
        </w:rPr>
      </w:pPr>
      <w:r>
        <w:rPr>
          <w:rFonts w:ascii="Times New Roman" w:cs="Times New Roman" w:eastAsia="Times New Roman" w:hAnsi="Times New Roman"/>
          <w:sz w:val="14"/>
          <w:szCs w:val="14"/>
          <w:color w:val="auto"/>
        </w:rPr>
        <w:t>them through our manufacturing or sourcing networks. We define our SAM for Medline Brand products as the portion of our U.S. TAM directly addressable by our existing Medline Brand portfolio and capabilities. We calculate our TAM and SAM estimates included in this prospectus using internally prepared analyses that rely on independent data extracts and research, publicly available information regarding our competitors, and internal market estimates.</w:t>
      </w:r>
    </w:p>
    <w:p>
      <w:pPr>
        <w:spacing w:after="0" w:line="3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TRADEMARKS, TRADE NAMES, AND SERVICE MARKS</w:t>
      </w:r>
    </w:p>
    <w:p>
      <w:pPr>
        <w:spacing w:after="0" w:line="174" w:lineRule="exact"/>
        <w:rPr>
          <w:sz w:val="20"/>
          <w:szCs w:val="20"/>
          <w:color w:val="auto"/>
        </w:rPr>
      </w:pPr>
    </w:p>
    <w:p>
      <w:pPr>
        <w:ind w:left="1400" w:right="299" w:firstLine="339"/>
        <w:spacing w:after="0" w:line="236" w:lineRule="auto"/>
        <w:rPr>
          <w:sz w:val="20"/>
          <w:szCs w:val="20"/>
          <w:color w:val="auto"/>
        </w:rPr>
      </w:pPr>
      <w:r>
        <w:rPr>
          <w:rFonts w:ascii="Times New Roman" w:cs="Times New Roman" w:eastAsia="Times New Roman" w:hAnsi="Times New Roman"/>
          <w:sz w:val="14"/>
          <w:szCs w:val="14"/>
          <w:color w:val="auto"/>
        </w:rPr>
        <w:t xml:space="preserve">We own or have the right to use trademarks, trade names, and service marks used in connection with our business, including, but not limited to, Medline, Curad, Microtek, Hudson, and Proxima, which are protected under applicable intellectual property laws. All trademarks, trade names, and service marks referred to in this prospectus are the property of their respective owners. Solely for convenience, our trademarks, trade names, and service marks referred to in this prospectus may appear without the </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20"/>
          <w:szCs w:val="20"/>
          <w:color w:val="auto"/>
          <w:vertAlign w:val="superscript"/>
        </w:rPr>
        <w:t>SM</w:t>
      </w:r>
      <w:r>
        <w:rPr>
          <w:rFonts w:ascii="Times New Roman" w:cs="Times New Roman" w:eastAsia="Times New Roman" w:hAnsi="Times New Roman"/>
          <w:sz w:val="14"/>
          <w:szCs w:val="14"/>
          <w:color w:val="auto"/>
        </w:rPr>
        <w:t xml:space="preserve"> symbols, but such references are not intended to indicate, in any way, that we will not assert, to the fullest extent permitted under applicable law, our rights or the right of the applicable licensor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10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10159"/>
          </w:cols>
          <w:pgMar w:left="300" w:top="383"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b w:val="1"/>
          <w:bCs w:val="1"/>
          <w:color w:val="auto"/>
        </w:rPr>
        <w:t>ORGANIZATIONAL STRUCTURE</w:t>
      </w:r>
    </w:p>
    <w:p>
      <w:pPr>
        <w:spacing w:after="0" w:line="17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Organizational Structure Following the IPO</w:t>
      </w:r>
    </w:p>
    <w:p>
      <w:pPr>
        <w:spacing w:after="0" w:line="91" w:lineRule="exact"/>
        <w:rPr>
          <w:sz w:val="20"/>
          <w:szCs w:val="20"/>
          <w:color w:val="auto"/>
        </w:rPr>
      </w:pPr>
    </w:p>
    <w:p>
      <w:pPr>
        <w:ind w:left="1400" w:right="279" w:firstLine="339"/>
        <w:spacing w:after="0" w:line="252" w:lineRule="auto"/>
        <w:rPr>
          <w:sz w:val="20"/>
          <w:szCs w:val="20"/>
          <w:color w:val="auto"/>
        </w:rPr>
      </w:pPr>
      <w:r>
        <w:rPr>
          <w:rFonts w:ascii="Times New Roman" w:cs="Times New Roman" w:eastAsia="Times New Roman" w:hAnsi="Times New Roman"/>
          <w:sz w:val="14"/>
          <w:szCs w:val="14"/>
          <w:color w:val="auto"/>
        </w:rPr>
        <w:t>Medline Inc. is a holding company, and its sole material assets are its equity interests held directly or indirectly through wholly owned subsidiaries in Medline Holdings. As the general partner of Medline Holdings, Medline Inc. operates and controls all of the business and affairs of Medline Holdings and, through Medline Holdings and its subsidiaries, conducts our business. The Reorganization Transactions lacked economic substance and therefore were accounted for in a manner consistent with a reorganization of entities under common control. As a result, the consolidated financial statements of Medline Inc. recognize the assets and liabilities received in the reorganization at their historical carrying amounts, as reflected in the historical consolidated financial statements of Medline Holdings, the accounting predecessor. Medline Inc. consolidates Medline Holdings in its consolidated financial statements and records a non-controlling interest related to the Units held by the Continuing Unitholders on its consolidated balance sheet and statement of income. As further described herein, prior to the completion of the IPO:</w:t>
      </w:r>
    </w:p>
    <w:p>
      <w:pPr>
        <w:spacing w:after="0" w:line="72" w:lineRule="exact"/>
        <w:rPr>
          <w:sz w:val="20"/>
          <w:szCs w:val="20"/>
          <w:color w:val="auto"/>
        </w:rPr>
      </w:pPr>
    </w:p>
    <w:p>
      <w:pPr>
        <w:ind w:left="2160" w:right="639" w:hanging="426"/>
        <w:spacing w:after="0" w:line="278" w:lineRule="auto"/>
        <w:tabs>
          <w:tab w:leader="none" w:pos="21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Pre-IPO Stockholders received shares of Class A common stock of Medline Inc. pursuant to the Blocker Transfers as defined and described in “Organizational Structure—Blocker Transfers”;</w:t>
      </w:r>
    </w:p>
    <w:p>
      <w:pPr>
        <w:spacing w:after="0" w:line="53" w:lineRule="exact"/>
        <w:rPr>
          <w:rFonts w:ascii="Times New Roman" w:cs="Times New Roman" w:eastAsia="Times New Roman" w:hAnsi="Times New Roman"/>
          <w:sz w:val="14"/>
          <w:szCs w:val="14"/>
          <w:color w:val="auto"/>
        </w:rPr>
      </w:pPr>
    </w:p>
    <w:p>
      <w:pPr>
        <w:ind w:left="2160" w:right="459" w:hanging="426"/>
        <w:spacing w:after="0" w:line="263" w:lineRule="auto"/>
        <w:tabs>
          <w:tab w:leader="none" w:pos="21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limited partnership agreement of Medline Holdings was amended and restated to, among other things, modify its capital structure by reclassifying its interests as follows (as further described under “Organizational Structure—Reclassification and Amendment and Restatement of the Limited Partnership Agreement of Medline Holdings”):</w:t>
      </w:r>
    </w:p>
    <w:p>
      <w:pPr>
        <w:spacing w:after="0" w:line="63" w:lineRule="exact"/>
        <w:rPr>
          <w:rFonts w:ascii="Times New Roman" w:cs="Times New Roman" w:eastAsia="Times New Roman" w:hAnsi="Times New Roman"/>
          <w:sz w:val="14"/>
          <w:szCs w:val="14"/>
          <w:color w:val="auto"/>
        </w:rPr>
      </w:pPr>
    </w:p>
    <w:p>
      <w:pPr>
        <w:ind w:left="2500" w:hanging="256"/>
        <w:spacing w:after="0"/>
        <w:tabs>
          <w:tab w:leader="none" w:pos="2500"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A Units held by Continuing Common Unitholders were converted into Common Units;</w:t>
      </w:r>
    </w:p>
    <w:p>
      <w:pPr>
        <w:spacing w:after="0" w:line="98" w:lineRule="exact"/>
        <w:rPr>
          <w:rFonts w:ascii="Times New Roman" w:cs="Times New Roman" w:eastAsia="Times New Roman" w:hAnsi="Times New Roman"/>
          <w:sz w:val="14"/>
          <w:szCs w:val="14"/>
          <w:color w:val="auto"/>
        </w:rPr>
      </w:pPr>
    </w:p>
    <w:p>
      <w:pPr>
        <w:ind w:left="2500" w:hanging="256"/>
        <w:spacing w:after="0"/>
        <w:tabs>
          <w:tab w:leader="none" w:pos="2500"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CUPI Units held by Continuing Common Unitholders were converted into Common Units; and</w:t>
      </w:r>
    </w:p>
    <w:p>
      <w:pPr>
        <w:spacing w:after="0" w:line="98" w:lineRule="exact"/>
        <w:rPr>
          <w:rFonts w:ascii="Times New Roman" w:cs="Times New Roman" w:eastAsia="Times New Roman" w:hAnsi="Times New Roman"/>
          <w:sz w:val="14"/>
          <w:szCs w:val="14"/>
          <w:color w:val="auto"/>
        </w:rPr>
      </w:pPr>
    </w:p>
    <w:p>
      <w:pPr>
        <w:ind w:left="2500" w:hanging="256"/>
        <w:spacing w:after="0"/>
        <w:tabs>
          <w:tab w:leader="none" w:pos="2500"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B Units held by Continuing Incentive Unitholders were converted into Incentive Units;</w:t>
      </w:r>
    </w:p>
    <w:p>
      <w:pPr>
        <w:spacing w:after="0" w:line="98" w:lineRule="exact"/>
        <w:rPr>
          <w:rFonts w:ascii="Times New Roman" w:cs="Times New Roman" w:eastAsia="Times New Roman" w:hAnsi="Times New Roman"/>
          <w:sz w:val="14"/>
          <w:szCs w:val="14"/>
          <w:color w:val="auto"/>
        </w:rPr>
      </w:pPr>
    </w:p>
    <w:p>
      <w:pPr>
        <w:ind w:left="2160" w:right="319" w:hanging="426"/>
        <w:spacing w:after="0" w:line="278" w:lineRule="auto"/>
        <w:tabs>
          <w:tab w:leader="none" w:pos="21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Continuing Common Unitholders received the number of shares of Class B common stock of Medline Inc. equivalent to the number of Common Units held by each such Continuing Common Unitholder; and</w:t>
      </w:r>
    </w:p>
    <w:p>
      <w:pPr>
        <w:spacing w:after="0" w:line="53" w:lineRule="exact"/>
        <w:rPr>
          <w:rFonts w:ascii="Times New Roman" w:cs="Times New Roman" w:eastAsia="Times New Roman" w:hAnsi="Times New Roman"/>
          <w:sz w:val="14"/>
          <w:szCs w:val="14"/>
          <w:color w:val="auto"/>
        </w:rPr>
      </w:pPr>
    </w:p>
    <w:p>
      <w:pPr>
        <w:ind w:left="2160" w:hanging="426"/>
        <w:spacing w:after="0"/>
        <w:tabs>
          <w:tab w:leader="none" w:pos="21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A Units, CUPI Units, and Class B Units that are not reclassified as set forth in (2) above were treated as follows:</w:t>
      </w:r>
    </w:p>
    <w:p>
      <w:pPr>
        <w:spacing w:after="0" w:line="98" w:lineRule="exact"/>
        <w:rPr>
          <w:rFonts w:ascii="Times New Roman" w:cs="Times New Roman" w:eastAsia="Times New Roman" w:hAnsi="Times New Roman"/>
          <w:sz w:val="14"/>
          <w:szCs w:val="14"/>
          <w:color w:val="auto"/>
        </w:rPr>
      </w:pPr>
    </w:p>
    <w:p>
      <w:pPr>
        <w:ind w:left="2500" w:hanging="256"/>
        <w:spacing w:after="0"/>
        <w:tabs>
          <w:tab w:leader="none" w:pos="2500"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A Units held by Exchanging Class A Unitholders were directly or indirectly exchanged for shares of Class A common stock;</w:t>
      </w:r>
    </w:p>
    <w:p>
      <w:pPr>
        <w:spacing w:after="0" w:line="98" w:lineRule="exact"/>
        <w:rPr>
          <w:rFonts w:ascii="Times New Roman" w:cs="Times New Roman" w:eastAsia="Times New Roman" w:hAnsi="Times New Roman"/>
          <w:sz w:val="14"/>
          <w:szCs w:val="14"/>
          <w:color w:val="auto"/>
        </w:rPr>
      </w:pPr>
    </w:p>
    <w:p>
      <w:pPr>
        <w:ind w:left="2500" w:hanging="256"/>
        <w:spacing w:after="0"/>
        <w:tabs>
          <w:tab w:leader="none" w:pos="2500"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CUPI Units held by Exchanging CUPI Unitholders were directly or indirectly exchanged for shares of Class A common stock; and</w:t>
      </w:r>
    </w:p>
    <w:p>
      <w:pPr>
        <w:spacing w:after="0" w:line="98" w:lineRule="exact"/>
        <w:rPr>
          <w:rFonts w:ascii="Times New Roman" w:cs="Times New Roman" w:eastAsia="Times New Roman" w:hAnsi="Times New Roman"/>
          <w:sz w:val="14"/>
          <w:szCs w:val="14"/>
          <w:color w:val="auto"/>
        </w:rPr>
      </w:pPr>
    </w:p>
    <w:p>
      <w:pPr>
        <w:ind w:left="2500" w:right="279" w:hanging="256"/>
        <w:spacing w:after="0" w:line="278" w:lineRule="auto"/>
        <w:tabs>
          <w:tab w:leader="none" w:pos="2500"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B Units held by Exchanging Class B Unitholders were directly or indirectly exchanged for shares of Class A common stock (in the case of vested Class B Units) and/or restricted shares of Class A common stock (in the case of unvested Class B Units).</w:t>
      </w:r>
    </w:p>
    <w:p>
      <w:pPr>
        <w:spacing w:after="0" w:line="126" w:lineRule="exact"/>
        <w:rPr>
          <w:sz w:val="20"/>
          <w:szCs w:val="20"/>
          <w:color w:val="auto"/>
        </w:rPr>
      </w:pPr>
    </w:p>
    <w:p>
      <w:pPr>
        <w:ind w:left="1400" w:right="359" w:firstLine="339"/>
        <w:spacing w:after="0" w:line="255" w:lineRule="auto"/>
        <w:rPr>
          <w:sz w:val="20"/>
          <w:szCs w:val="20"/>
          <w:color w:val="auto"/>
        </w:rPr>
      </w:pPr>
      <w:r>
        <w:rPr>
          <w:rFonts w:ascii="Times New Roman" w:cs="Times New Roman" w:eastAsia="Times New Roman" w:hAnsi="Times New Roman"/>
          <w:sz w:val="14"/>
          <w:szCs w:val="14"/>
          <w:color w:val="auto"/>
        </w:rPr>
        <w:t>Incentive Units received by Continuing Incentive Unitholders upon conversion of their Class B Units generally vest in equal annual installments over a period of five years from the date of grant, subject to the holder’s continued employment through the applicable vesting date. In addition, certain Incentive Units held by certain of our executive officers vest based on achievement of performance metrics tied to multiples of our Sponsors’ invested capital in Medline Holdings. See “Part III—Item 11—Executive Compensation” in our 2025 Form 10-K incorporated by reference in this prospectus. The Incentive Units are referred to as “Time-Vested Units” and “Performance-Vested Units” in such table.</w:t>
      </w:r>
    </w:p>
    <w:p>
      <w:pPr>
        <w:spacing w:after="0" w:line="143" w:lineRule="exact"/>
        <w:rPr>
          <w:sz w:val="20"/>
          <w:szCs w:val="20"/>
          <w:color w:val="auto"/>
        </w:rPr>
      </w:pPr>
    </w:p>
    <w:p>
      <w:pPr>
        <w:jc w:val="both"/>
        <w:ind w:left="1400" w:right="339" w:firstLine="339"/>
        <w:spacing w:after="0" w:line="263" w:lineRule="auto"/>
        <w:rPr>
          <w:sz w:val="20"/>
          <w:szCs w:val="20"/>
          <w:color w:val="auto"/>
        </w:rPr>
      </w:pPr>
      <w:r>
        <w:rPr>
          <w:rFonts w:ascii="Times New Roman" w:cs="Times New Roman" w:eastAsia="Times New Roman" w:hAnsi="Times New Roman"/>
          <w:sz w:val="14"/>
          <w:szCs w:val="14"/>
          <w:color w:val="auto"/>
        </w:rPr>
        <w:t>Subject to certain restrictions, pursuant to the terms of the amended and restated limited partnership agreement of Medline Holdings, the holders of vested Incentive Units have the right to convert their vested Incentive Units into a number of Common Units of Medline Holdings that will generally be equal to (a) the product of the number of vested Incentive Units to be converted with a given per unit participation threshold and</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10159"/>
          </w:cols>
          <w:pgMar w:left="300" w:top="383"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then-current difference between the per unit value of a Common Unit at the time of the conversion (based on the public trading price of a share of</w:t>
      </w:r>
    </w:p>
    <w:p>
      <w:pPr>
        <w:spacing w:after="0" w:line="21" w:lineRule="exact"/>
        <w:rPr>
          <w:sz w:val="20"/>
          <w:szCs w:val="20"/>
          <w:color w:val="auto"/>
        </w:rPr>
      </w:pPr>
    </w:p>
    <w:p>
      <w:pPr>
        <w:ind w:left="1400" w:right="299"/>
        <w:spacing w:after="0" w:line="250" w:lineRule="auto"/>
        <w:rPr>
          <w:sz w:val="20"/>
          <w:szCs w:val="20"/>
          <w:color w:val="auto"/>
        </w:rPr>
      </w:pPr>
      <w:r>
        <w:rPr>
          <w:rFonts w:ascii="Times New Roman" w:cs="Times New Roman" w:eastAsia="Times New Roman" w:hAnsi="Times New Roman"/>
          <w:sz w:val="14"/>
          <w:szCs w:val="14"/>
          <w:color w:val="auto"/>
        </w:rPr>
        <w:t>Class A common stock) and the per unit participation threshold of such vested Incentive Units divided by (b) the per unit value of a Common Unit at the time of the conversion (based on the public trading price of a share of Class A common stock), subject to certain adjustments. Common Units received upon conversion are exchangeable on a one-for-one basis for shares of Class A common stock of Medline Inc. in accordance with the terms of the exchange agreement. An unvested Incentive Unit is not exchangeable unless and until such Incentive Unit vests. See “Part III—Item 13—Certain Relationships and Related Transactions, and Director Independence” in our 2025 Form 10-K incorporated by reference in this prospectus.</w:t>
      </w:r>
    </w:p>
    <w:p>
      <w:pPr>
        <w:spacing w:after="0" w:line="145" w:lineRule="exact"/>
        <w:rPr>
          <w:sz w:val="20"/>
          <w:szCs w:val="20"/>
          <w:color w:val="auto"/>
        </w:rPr>
      </w:pPr>
    </w:p>
    <w:p>
      <w:pPr>
        <w:ind w:left="1400" w:right="299" w:firstLine="339"/>
        <w:spacing w:after="0" w:line="251" w:lineRule="auto"/>
        <w:rPr>
          <w:sz w:val="20"/>
          <w:szCs w:val="20"/>
          <w:color w:val="auto"/>
        </w:rPr>
      </w:pPr>
      <w:r>
        <w:rPr>
          <w:rFonts w:ascii="Times New Roman" w:cs="Times New Roman" w:eastAsia="Times New Roman" w:hAnsi="Times New Roman"/>
          <w:sz w:val="14"/>
          <w:szCs w:val="14"/>
          <w:color w:val="auto"/>
        </w:rPr>
        <w:t>Following the IPO, the Continuing Common Unitholders held all of the outstanding shares of our Class B common stock, and, upon conversion of vested Incentive Units for Common Units, the converting holders will also receive an equivalent number of shares of Class B common stock. The shares of Class B common stock have no economic rights but entitle each holder to one vote for each share held of record on all matters to be voted on by stockholders generally, with the number of shares of Class B common stock held by each Continuing Unitholder being equivalent to the number of Common Units held by each such Continuing Unitholder. If at any time the ratio at which Common Units are exchangeable for shares of Class A common stock of Medline Inc. changes from one-for-one as described under “Part III—Item 13—Certain Relationships and Related Transactions, and Director Independence” in our 2025 Form 10-K incorporated by reference in this prospectus, the number of votes to which Class B common stockholders are entitled will be adjusted accordingly. Holders of shares of our Class B common stock vote together with holders of our Class A common stock as a single class on all matters on which stockholders are entitled to vote generally, except as otherwise required by law.</w:t>
      </w:r>
    </w:p>
    <w:p>
      <w:pPr>
        <w:spacing w:after="0" w:line="148" w:lineRule="exact"/>
        <w:rPr>
          <w:sz w:val="20"/>
          <w:szCs w:val="20"/>
          <w:color w:val="auto"/>
        </w:rPr>
      </w:pPr>
    </w:p>
    <w:p>
      <w:pPr>
        <w:ind w:left="1400" w:right="299" w:firstLine="339"/>
        <w:spacing w:after="0" w:line="253" w:lineRule="auto"/>
        <w:rPr>
          <w:sz w:val="20"/>
          <w:szCs w:val="20"/>
          <w:color w:val="auto"/>
        </w:rPr>
      </w:pPr>
      <w:r>
        <w:rPr>
          <w:rFonts w:ascii="Times New Roman" w:cs="Times New Roman" w:eastAsia="Times New Roman" w:hAnsi="Times New Roman"/>
          <w:sz w:val="14"/>
          <w:szCs w:val="14"/>
          <w:color w:val="auto"/>
        </w:rPr>
        <w:t>Our organizational structure, as described above, is commonly referred to as an umbrella partnership-C-corporation (or UP-C) structure. This organizational structure allows the Continuing Unitholders to retain their equity ownership in Medline Holdings, an entity that is classified as a partnership for U.S. federal income tax purposes, in the form of Units. Investors in the IPO and this offering, the Pre-IPO Stockholders, and the Exchanging Unitholders, by contrast, hold their equity ownership in Medline Inc., a Delaware corporation that is a domestic corporation for U.S. federal income tax purposes, in the form of shares of Class A common stock. We believe that the Continuing Unitholders generally find it advantageous to continue to hold their equity interests in an entity that is not taxable as a corporation for U.S. federal income tax purposes. We do not believe that our UP-C organizational structure gives rise to any significant business or strategic benefit or detriment to us.</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10159"/>
          </w:cols>
          <w:pgMar w:left="300" w:top="383"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3"/>
          <w:szCs w:val="13"/>
          <w:color w:val="auto"/>
        </w:rPr>
        <w:t>The simplified diagram below depicts our organizational structure immediately after our IPO and this offering, after giving effect to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139065</wp:posOffset>
            </wp:positionV>
            <wp:extent cx="4674870" cy="25685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674870" cy="256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1"/>
          <w:szCs w:val="11"/>
          <w:i w:val="1"/>
          <w:iCs w:val="1"/>
          <w:color w:val="auto"/>
        </w:rPr>
        <w:t>Note:  Certain intermediate holding companies that are not material to this offering have been omitted from the structure chart</w:t>
      </w:r>
      <w:r>
        <w:rPr>
          <w:rFonts w:ascii="Times New Roman" w:cs="Times New Roman" w:eastAsia="Times New Roman" w:hAnsi="Times New Roman"/>
          <w:sz w:val="11"/>
          <w:szCs w:val="11"/>
          <w:color w:val="auto"/>
        </w:rPr>
        <w:t>.</w:t>
      </w:r>
    </w:p>
    <w:p>
      <w:pPr>
        <w:spacing w:after="0" w:line="177" w:lineRule="exact"/>
        <w:rPr>
          <w:sz w:val="20"/>
          <w:szCs w:val="20"/>
          <w:color w:val="auto"/>
        </w:rPr>
      </w:pPr>
    </w:p>
    <w:p>
      <w:pPr>
        <w:ind w:left="1740" w:right="759" w:hanging="338"/>
        <w:spacing w:after="0" w:line="228" w:lineRule="auto"/>
        <w:tabs>
          <w:tab w:leader="none" w:pos="1740" w:val="left"/>
        </w:tabs>
        <w:numPr>
          <w:ilvl w:val="0"/>
          <w:numId w:val="2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Each share of our Class A common stock and Class B common stock entitles its holder to one vote on all matters to be voted on by the stockholders generally. For additional information, see “Description of Capital Stock—Common Stock.”</w:t>
      </w:r>
    </w:p>
    <w:p>
      <w:pPr>
        <w:ind w:left="1740" w:right="299" w:hanging="338"/>
        <w:spacing w:after="0" w:line="223" w:lineRule="auto"/>
        <w:tabs>
          <w:tab w:leader="none" w:pos="1740" w:val="left"/>
        </w:tabs>
        <w:numPr>
          <w:ilvl w:val="0"/>
          <w:numId w:val="2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As of May 4, 2026 (assuming the $44.19 closing sales price per share of our Class A common stock on such date as reported on Nasdaq), 26,107,492 shares of Class A common stock would be issuable upon the exchange of an equivalent number of Common Units into which Incentive Units held by the Continuing Incentive Unitholders may be converted (assuming such Incentive Units are fully vested and converted to Common Units). For additional information, see “Organizational Structure—Reclassification and Amendment and Restatement of the Limited Partnership Agreement of Medline Holdings” included elsewhere in this prospectus and “Part III—Item 13—Certain Relationships and Related Transactions, and Director Independence” in our 2025 Form 10-K incorporated by reference in this prospectus.</w:t>
      </w:r>
    </w:p>
    <w:p>
      <w:pPr>
        <w:spacing w:after="0" w:line="22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Incorporation of Medline Inc.</w:t>
      </w:r>
    </w:p>
    <w:p>
      <w:pPr>
        <w:spacing w:after="0" w:line="91" w:lineRule="exact"/>
        <w:rPr>
          <w:sz w:val="20"/>
          <w:szCs w:val="20"/>
          <w:color w:val="auto"/>
        </w:rPr>
      </w:pPr>
    </w:p>
    <w:p>
      <w:pPr>
        <w:jc w:val="both"/>
        <w:ind w:left="1400" w:right="479" w:firstLine="339"/>
        <w:spacing w:after="0" w:line="292" w:lineRule="auto"/>
        <w:rPr>
          <w:sz w:val="20"/>
          <w:szCs w:val="20"/>
          <w:color w:val="auto"/>
        </w:rPr>
      </w:pPr>
      <w:r>
        <w:rPr>
          <w:rFonts w:ascii="Times New Roman" w:cs="Times New Roman" w:eastAsia="Times New Roman" w:hAnsi="Times New Roman"/>
          <w:sz w:val="13"/>
          <w:szCs w:val="13"/>
          <w:color w:val="auto"/>
        </w:rPr>
        <w:t>Medline Inc. was incorporated as a Delaware corporation on November 6, 2024. Until the IPO, Medline Inc. did not engage in any business or other activities except in connection with its formation and the IPO. The amended and restated certificate of incorporation of Medline Inc. authorizes two classes of common stock, Class A common stock and Class B common stock, each having the terms described in “Description of Capital Stock.”</w:t>
      </w:r>
    </w:p>
    <w:p>
      <w:pPr>
        <w:spacing w:after="0" w:line="20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Blocker Transfers</w:t>
      </w:r>
    </w:p>
    <w:p>
      <w:pPr>
        <w:spacing w:after="0" w:line="91" w:lineRule="exact"/>
        <w:rPr>
          <w:sz w:val="20"/>
          <w:szCs w:val="20"/>
          <w:color w:val="auto"/>
        </w:rPr>
      </w:pPr>
    </w:p>
    <w:p>
      <w:pPr>
        <w:ind w:left="1400" w:right="299" w:firstLine="339"/>
        <w:spacing w:after="0" w:line="292" w:lineRule="auto"/>
        <w:rPr>
          <w:sz w:val="20"/>
          <w:szCs w:val="20"/>
          <w:color w:val="auto"/>
        </w:rPr>
      </w:pPr>
      <w:r>
        <w:rPr>
          <w:rFonts w:ascii="Times New Roman" w:cs="Times New Roman" w:eastAsia="Times New Roman" w:hAnsi="Times New Roman"/>
          <w:sz w:val="13"/>
          <w:szCs w:val="13"/>
          <w:color w:val="auto"/>
        </w:rPr>
        <w:t>Prior to the completion of the IPO, our Pre-IPO Stockholders held their interests in Medline Holdings through Blocker Companies that are taxable as corporations for U.S. federal income tax purposes. At the time of the IPO, we entered into certain restructuring transactions (such transactions, the “Blocker Transfers”) that resulted in the Pre-IPO Stockholders acquiring newly issued shares of Class A common stock in exchange for the</w:t>
      </w:r>
    </w:p>
    <w:p>
      <w:pPr>
        <w:spacing w:after="0" w:line="6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10159"/>
          </w:cols>
          <w:pgMar w:left="300" w:top="383"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99"/>
        <w:spacing w:after="0" w:line="263" w:lineRule="auto"/>
        <w:rPr>
          <w:sz w:val="20"/>
          <w:szCs w:val="20"/>
          <w:color w:val="auto"/>
        </w:rPr>
      </w:pPr>
      <w:r>
        <w:rPr>
          <w:rFonts w:ascii="Times New Roman" w:cs="Times New Roman" w:eastAsia="Times New Roman" w:hAnsi="Times New Roman"/>
          <w:sz w:val="14"/>
          <w:szCs w:val="14"/>
          <w:color w:val="auto"/>
        </w:rPr>
        <w:t>acquisition by Medline Inc. of the Blocker Companies and, indirectly, the equivalent number of Common Units held by the Blocker Companies. Each of the Blocker Companies initially became a wholly owned subsidiary of Medline Inc. and were either merged into Medline Inc. or remained a wholly owned subsidiary that is part of the same consolidated group for U.S. federal income tax purposes.</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Reclassification and Amendment and Restatement of the Limited Partnership Agreement of Medline Holdings</w:t>
      </w:r>
    </w:p>
    <w:p>
      <w:pPr>
        <w:spacing w:after="0" w:line="91" w:lineRule="exact"/>
        <w:rPr>
          <w:sz w:val="20"/>
          <w:szCs w:val="20"/>
          <w:color w:val="auto"/>
        </w:rPr>
      </w:pPr>
    </w:p>
    <w:p>
      <w:pPr>
        <w:ind w:left="1400" w:right="319" w:firstLine="339"/>
        <w:spacing w:after="0" w:line="252" w:lineRule="auto"/>
        <w:rPr>
          <w:sz w:val="20"/>
          <w:szCs w:val="20"/>
          <w:color w:val="auto"/>
        </w:rPr>
      </w:pPr>
      <w:r>
        <w:rPr>
          <w:rFonts w:ascii="Times New Roman" w:cs="Times New Roman" w:eastAsia="Times New Roman" w:hAnsi="Times New Roman"/>
          <w:sz w:val="14"/>
          <w:szCs w:val="14"/>
          <w:color w:val="auto"/>
        </w:rPr>
        <w:t>Prior to the IPO, the limited partnership agreement of Medline Holdings was amended and restated to, among other things, modify its capital structure by reclassifying its outstanding Class A Units and CUPI Units held by the Continuing Common Unitholders into a new class of limited partnership interests that we refer to as “Common Units” and reclassifying its outstanding Class B Units held by the Continuing Incentive Unitholders into a new class of limited partnership interests that we refer to as “Incentive Units.” We refer to this reclassification (the “Reclassification”) and amendment and restatement, together with the transactions described above under “—Blocker Transfers” and the entry into the exchange agreement and tax receivable agreement described below as the “Reorganization Transactions.” As a result of these transactions, our pre-IPO owners hold their ownership interests directly in Medline Holdings (in the case of the Continuing Unitholders) or Medline Inc. (in the case of the Pre-IPO Stockholders and the Exchanging Unitholders).</w:t>
      </w:r>
    </w:p>
    <w:p>
      <w:pPr>
        <w:spacing w:after="0" w:line="145" w:lineRule="exact"/>
        <w:rPr>
          <w:sz w:val="20"/>
          <w:szCs w:val="20"/>
          <w:color w:val="auto"/>
        </w:rPr>
      </w:pPr>
    </w:p>
    <w:p>
      <w:pPr>
        <w:ind w:left="1400" w:right="279" w:firstLine="339"/>
        <w:spacing w:after="0" w:line="274" w:lineRule="auto"/>
        <w:rPr>
          <w:sz w:val="20"/>
          <w:szCs w:val="20"/>
          <w:color w:val="auto"/>
        </w:rPr>
      </w:pPr>
      <w:r>
        <w:rPr>
          <w:rFonts w:ascii="Times New Roman" w:cs="Times New Roman" w:eastAsia="Times New Roman" w:hAnsi="Times New Roman"/>
          <w:sz w:val="13"/>
          <w:szCs w:val="13"/>
          <w:color w:val="auto"/>
        </w:rPr>
        <w:t>In connection with the Reclassification, Class A Units, CUPI Units, and all vested and unvested Class B Units held by the Exchanging Unitholders that were not reclassified into Units of Medline Holdings were directly or indirectly exchanged for shares of Class A common stock (in the case of Class A Units, CUPI Units, and vested Class B Units) and restricted shares of Class A common stock (in the case of unvested Class B Units). The number of shares of Class A common stock delivered in respect of the units held by the Exchanging Unitholders was determined based on the amount of proceeds that would be distributed to such units if the Company were to be sold at a value derived from the initial public offering price, and the intrinsic value of the shares of Class A common stock issued in respect of each unit has a value equal to the hypothetical proceeds such unit would have received. Such shares of Class A common stock are restricted shares of Class A common stock, to the extent such shares related to unvested Class B Units, or vested shares of Class A common stock, to the extent such shares related to Class A Units, CUPI Units, or vested Class B Units.</w:t>
      </w:r>
    </w:p>
    <w:p>
      <w:pPr>
        <w:spacing w:after="0" w:line="132" w:lineRule="exact"/>
        <w:rPr>
          <w:sz w:val="20"/>
          <w:szCs w:val="20"/>
          <w:color w:val="auto"/>
        </w:rPr>
      </w:pPr>
    </w:p>
    <w:p>
      <w:pPr>
        <w:ind w:left="1400" w:right="359" w:firstLine="339"/>
        <w:spacing w:after="0" w:line="255" w:lineRule="auto"/>
        <w:rPr>
          <w:sz w:val="20"/>
          <w:szCs w:val="20"/>
          <w:color w:val="auto"/>
        </w:rPr>
      </w:pPr>
      <w:r>
        <w:rPr>
          <w:rFonts w:ascii="Times New Roman" w:cs="Times New Roman" w:eastAsia="Times New Roman" w:hAnsi="Times New Roman"/>
          <w:sz w:val="14"/>
          <w:szCs w:val="14"/>
          <w:color w:val="auto"/>
        </w:rPr>
        <w:t>In addition, we (i) granted options to purchase shares of Class A common stock under the Omnibus Incentive Plan to certain Exchanging Class B Unitholders in substitution for a portion of the economic benefit to which the Class B Units were entitled prior to the IPO that was not reflected in the exchange of Class B Units to shares of Class A common stock and (ii) granted RSUs in respect of Class A common stock to certain Exchanging Unitholders to compensate them for the loss of opportunity to participate in the tax receivable agreement in which they would have had the opportunity to participate had their units not been exchanged for shares of Class A common stock.</w:t>
      </w:r>
    </w:p>
    <w:p>
      <w:pPr>
        <w:spacing w:after="0" w:line="143" w:lineRule="exact"/>
        <w:rPr>
          <w:sz w:val="20"/>
          <w:szCs w:val="20"/>
          <w:color w:val="auto"/>
        </w:rPr>
      </w:pPr>
    </w:p>
    <w:p>
      <w:pPr>
        <w:ind w:left="1400" w:right="319" w:firstLine="339"/>
        <w:spacing w:after="0" w:line="274" w:lineRule="auto"/>
        <w:rPr>
          <w:sz w:val="20"/>
          <w:szCs w:val="20"/>
          <w:color w:val="auto"/>
        </w:rPr>
      </w:pPr>
      <w:r>
        <w:rPr>
          <w:rFonts w:ascii="Times New Roman" w:cs="Times New Roman" w:eastAsia="Times New Roman" w:hAnsi="Times New Roman"/>
          <w:sz w:val="13"/>
          <w:szCs w:val="13"/>
          <w:color w:val="auto"/>
        </w:rPr>
        <w:t>Pursuant to the amended and restated limited partnership agreement of Medline Holdings, Medline Inc. is the sole general partner of Medline Holdings. Accordingly, Medline Inc. has the right to determine when distributions will be made to the holders of Common Units and the amount of any such distributions. If Medline Inc., as the general partner, authorizes a distribution, such distribution will be made to the holders of Common Units and any participating Incentive Units (as described below) pro rata in accordance with the percentages of their respective Common Units or Incentive Units, as applicable, held. Incentive Units initially are not entitled to receive distributions (other than tax distributions) until holders of Common Units have received a minimum return as provided in the amended and restated limited partnership agreement of Medline Holdings. However, Incentive Units have the benefit of adjustment provisions that will reduce the participation threshold for distributions in respect of which they do not participate until there is no participation threshold, at and after which time the Incentive Units would participate pro rata with distributions on Common Units.</w:t>
      </w:r>
    </w:p>
    <w:p>
      <w:pPr>
        <w:spacing w:after="0" w:line="132" w:lineRule="exact"/>
        <w:rPr>
          <w:sz w:val="20"/>
          <w:szCs w:val="20"/>
          <w:color w:val="auto"/>
        </w:rPr>
      </w:pPr>
    </w:p>
    <w:p>
      <w:pPr>
        <w:ind w:left="1400" w:right="659" w:firstLine="339"/>
        <w:spacing w:after="0" w:line="278" w:lineRule="auto"/>
        <w:rPr>
          <w:sz w:val="20"/>
          <w:szCs w:val="20"/>
          <w:color w:val="auto"/>
        </w:rPr>
      </w:pPr>
      <w:r>
        <w:rPr>
          <w:rFonts w:ascii="Times New Roman" w:cs="Times New Roman" w:eastAsia="Times New Roman" w:hAnsi="Times New Roman"/>
          <w:sz w:val="14"/>
          <w:szCs w:val="14"/>
          <w:color w:val="auto"/>
        </w:rPr>
        <w:t>The Continuing Unitholders, including Medline Inc., incur U.S. federal, state, and local income taxes on their allocable share of any taxable income of Medline Holdings. Net profits and net losses of Medline Holdings</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10159"/>
          </w:cols>
          <w:pgMar w:left="300" w:top="383"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99"/>
        <w:spacing w:after="0" w:line="251" w:lineRule="auto"/>
        <w:rPr>
          <w:sz w:val="20"/>
          <w:szCs w:val="20"/>
          <w:color w:val="auto"/>
        </w:rPr>
      </w:pPr>
      <w:r>
        <w:rPr>
          <w:rFonts w:ascii="Times New Roman" w:cs="Times New Roman" w:eastAsia="Times New Roman" w:hAnsi="Times New Roman"/>
          <w:sz w:val="14"/>
          <w:szCs w:val="14"/>
          <w:color w:val="auto"/>
        </w:rPr>
        <w:t>are generally allocated to its owners (including Medline Inc.) pro rata in accordance with the percentages of their respective Units held, except as otherwise required by law. The amended and restated limited partnership agreement provides for cash distributions to the Continuing Unitholders if Medline Inc. determines that the taxable income of Medline Holdings will give rise to taxable income for such holders. In accordance with the amended and restated limited partnership agreement, we intend to cause Medline Holdings to make cash distributions to the Continuing Unitholders, including us, for purposes of funding their tax obligations in respect of the income of Medline Holdings that is allocated to them. Generally, these tax distributions will be computed based on our estimate of the taxable income of Medline Holdings allocated to the Continuing Unitholder that receives the greatest proportionate allocation of income multiplied by an assumed tax rate equal to 36% with respect to ordinary income or 30% with respect to capital gains or qualified dividend income, in each case, subject to adjustment by the board. Tax distributions will be pro rata as among the Common Units. See “Part III—Item 13—Certain Relationships and Related Transactions, and Director Independence” in our 2025 Form 10-K incorporated by reference in this prospectus.</w:t>
      </w:r>
    </w:p>
    <w:p>
      <w:pPr>
        <w:spacing w:after="0" w:line="146" w:lineRule="exact"/>
        <w:rPr>
          <w:sz w:val="20"/>
          <w:szCs w:val="20"/>
          <w:color w:val="auto"/>
        </w:rPr>
      </w:pPr>
    </w:p>
    <w:p>
      <w:pPr>
        <w:ind w:left="1400" w:right="339" w:firstLine="339"/>
        <w:spacing w:after="0" w:line="252" w:lineRule="auto"/>
        <w:rPr>
          <w:sz w:val="20"/>
          <w:szCs w:val="20"/>
          <w:color w:val="auto"/>
        </w:rPr>
      </w:pPr>
      <w:r>
        <w:rPr>
          <w:rFonts w:ascii="Times New Roman" w:cs="Times New Roman" w:eastAsia="Times New Roman" w:hAnsi="Times New Roman"/>
          <w:sz w:val="14"/>
          <w:szCs w:val="14"/>
          <w:color w:val="auto"/>
        </w:rPr>
        <w:t>Subject to certain restrictions, pursuant to the terms of the amended and restated limited partnership agreement of Medline Holdings, the holders of vested Incentive Units have the right to convert their vested Incentive Units into a number of Common Units of Medline Holdings that are generally equal to (a) the product of the number of vested Incentive Units to be converted with a given per unit participation threshold and then-current difference between the per unit value of a Common Unit at the time of the conversion (based on the public trading price of a share of Class A common stock) and the per unit participation threshold of such vested Incentive Units divided by (b) the per unit value of a Common Unit at the time of the conversion (based on the public trading price of a share of Class A common stock), subject to certain adjustments. Common Units received upon conversion are exchangeable on a one-for-one basis for shares of Class A common stock of Medline Inc. in accordance with the terms of the exchange agreement as described below. An unvested Incentive Unit is not exchangeable unless and until such Incentive Unit vests.</w:t>
      </w:r>
    </w:p>
    <w:p>
      <w:pPr>
        <w:spacing w:after="0" w:line="22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Exchange Agreement</w:t>
      </w:r>
    </w:p>
    <w:p>
      <w:pPr>
        <w:spacing w:after="0" w:line="91" w:lineRule="exact"/>
        <w:rPr>
          <w:sz w:val="20"/>
          <w:szCs w:val="20"/>
          <w:color w:val="auto"/>
        </w:rPr>
      </w:pPr>
    </w:p>
    <w:p>
      <w:pPr>
        <w:ind w:left="1400" w:right="299" w:firstLine="339"/>
        <w:spacing w:after="0" w:line="250" w:lineRule="auto"/>
        <w:rPr>
          <w:sz w:val="20"/>
          <w:szCs w:val="20"/>
          <w:color w:val="auto"/>
        </w:rPr>
      </w:pPr>
      <w:r>
        <w:rPr>
          <w:rFonts w:ascii="Times New Roman" w:cs="Times New Roman" w:eastAsia="Times New Roman" w:hAnsi="Times New Roman"/>
          <w:sz w:val="14"/>
          <w:szCs w:val="14"/>
          <w:color w:val="auto"/>
        </w:rPr>
        <w:t>We and the Continuing Unitholders entered into an exchange agreement at the time of our IPO under which they (or certain permitted transferees thereof) may (subject to the terms of the exchange agreement) exchange their Common Units (including Common Units issued upon conversion of vested Incentive Units) for shares of our Class A common stock on a one-for-one basis, subject to customary conversion rate adjustments for stock splits, stock dividends and reclassifications, whereupon an equivalent number of shares of Class B common stock held by each such Continuing Unitholder will be automatically transferred to us and cancelled and retired upon any such exchange. Class A common stock received by such Continuing Unitholder upon such exchanges during an applicable restricted period is subject to the applicable restrictions. The exchange agreement also provides that a holder of Common Units does not have the right to exchange Common Units if Medline Inc. determines that such exchange would be prohibited by law or regulation or would violate other agreements with Medline Inc. to which the holder of Common Units may be subject. Medline Inc. may impose additional restrictions on exchange that it determines to be necessary or advisable so that Medline Holdings is not treated as a “publicly traded partnership” for U.S. federal income tax purposes. As a holder exchanges Common Units for shares of Class A common stock, the number of Common Units held by Medline Inc. is correspondingly increased as it acquires the exchanged Common Units. Holders of outstanding Common Units do not have the right to require a redemption of the Common Units. If at any time the ratio at which Common Units are exchangeable for shares of Class A common stock of Medline Inc. changes from one-for-one as described under “Part III—Item 13—Certain Relationships and Related Transactions, and Director Independence” in our 2025 Form 10-K incorporated by reference in this prospectus, the number of votes to which Class B common stockholders are entitled will be adjusted accordingly. See “Part III—Item 13—Certain Relationships and Related Transactions, and Director Independence” in our 2025 Form 10-K incorporated by reference in this prospectus.</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10159"/>
          </w:cols>
          <w:pgMar w:left="300" w:top="383"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Tax Receivable Agreement</w:t>
      </w:r>
    </w:p>
    <w:p>
      <w:pPr>
        <w:spacing w:after="0" w:line="91" w:lineRule="exact"/>
        <w:rPr>
          <w:sz w:val="20"/>
          <w:szCs w:val="20"/>
          <w:color w:val="auto"/>
        </w:rPr>
      </w:pPr>
    </w:p>
    <w:p>
      <w:pPr>
        <w:ind w:left="1400" w:right="319" w:firstLine="339"/>
        <w:spacing w:after="0" w:line="249" w:lineRule="auto"/>
        <w:rPr>
          <w:sz w:val="20"/>
          <w:szCs w:val="20"/>
          <w:color w:val="auto"/>
        </w:rPr>
      </w:pPr>
      <w:r>
        <w:rPr>
          <w:rFonts w:ascii="Times New Roman" w:cs="Times New Roman" w:eastAsia="Times New Roman" w:hAnsi="Times New Roman"/>
          <w:sz w:val="14"/>
          <w:szCs w:val="14"/>
          <w:color w:val="auto"/>
        </w:rPr>
        <w:t>Prior to the completion of our IPO, Medline Inc. entered into a tax receivable agreement with certain of our pre-IPO owners that provides for the payment by Medline Inc. to such pre-IPO owners of 90% of certain tax benefits, if any, that Medline Inc. actually realizes, or is deemed to realize (calculated using certain assumptions), as a result of (i) Medline Inc.’s allocable share of existing tax basis in Medline Holdings’ assets acquired in our IPO, (ii) increases in Medline Inc.’s allocable share of existing tax basis and tax basis adjustments to the tangible and intangible assets of Medline Holdings as a result of sales or exchanges of Common Units (including Common Units issued upon conversion of vested Incentive Units) in connection with or after our IPO, including the exchange of Common Units for shares of our Class A common stock by the selling stockholders in connection with this offering, (iii) Medline Inc.’s utilization of certain tax attributes (including any existing tax basis) of the Blocker Companies, which Medline Inc. acquired in connection with our IPO, and (iv) certain other tax benefits related to our entering into the tax receivable agreement, including tax benefits attributable to payments under the tax receivable agreement. Sales or exchanges of Common Units (including Common Units issued upon conversion of vested Incentive Units) are expected to result in increases in the tax basis of the assets of Medline Holdings. The existing tax basis, increases in existing tax basis, and the tax basis adjustments generated over time may increase (for tax purposes) depreciation and amortization deductions available to Medline Inc. and, therefore, may reduce the amount of U.S. federal, state, and local tax that Medline Inc. would otherwise be required to pay in the future. Actual tax benefits realized by Medline Inc. may differ from tax benefits calculated under the tax receivable agreement as a result of the use of certain assumptions in the tax receivable agreement, including the use of an assumed blended state and local income tax rate of 6% (as adjusted to take into account the U.S. federal tax benefit of such taxes) to calculate tax benefits. This payment obligation is an obligation of Medline Inc. and not of Medline Holdings. See “Part III—Item 13—Certain Relationships and Related Transactions, and Director Independence” in our 2025 Form 10-K incorporated by reference in this prospectus.</w:t>
      </w:r>
    </w:p>
    <w:p>
      <w:pPr>
        <w:spacing w:after="0" w:line="23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IPO Transactions</w:t>
      </w:r>
    </w:p>
    <w:p>
      <w:pPr>
        <w:spacing w:after="0" w:line="9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On December 18, 2025, Medline Inc. completed its initial public offering of its Class A common stock in which it issued and sold 248,439,654</w:t>
      </w:r>
    </w:p>
    <w:p>
      <w:pPr>
        <w:spacing w:after="0" w:line="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shares of Class A common stock (including shares issued pursuant to the exercise in full of the underwriters’ option to purchase additional shares). The</w:t>
      </w:r>
    </w:p>
    <w:p>
      <w:pPr>
        <w:spacing w:after="0" w:line="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shares were sold at an initial offering price of $29.00 per share, which generated net proceeds of approximately $7,048 million after deducting</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underwriting discounts and commissions of approximately $157 million. The offering expenses (excluding underwriting discounts and commissions)</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were approximately $40 million. We used the proceeds (net of underwriting discounts and commissions) from the issuance of 179,000,000 shares</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($5,078 million) in the IPO to purchase an equivalent number of newly issued Common Units from Medline Holdings, which Medline Holdings in turn</w:t>
      </w:r>
    </w:p>
    <w:p>
      <w:pPr>
        <w:spacing w:after="0" w:line="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used $731 million (including interest of $1 million) to repay in full all outstanding indebtedness under our New Euro Term Loan Facility, $3,292 million</w:t>
      </w:r>
    </w:p>
    <w:p>
      <w:pPr>
        <w:spacing w:after="0" w:line="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(including interest of $11 million) to repay a portion of the outstanding indebtedness under our 2028 Refinancing Term Loan Facility, and the remainder</w:t>
      </w:r>
    </w:p>
    <w:p>
      <w:pPr>
        <w:spacing w:after="0" w:line="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for general corporate purposes and to bear all of the expenses of the IPO. We used the proceeds from the issuance of 69,439,654 shares ($1,970 million)</w:t>
      </w:r>
    </w:p>
    <w:p>
      <w:pPr>
        <w:spacing w:after="0" w:line="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in the IPO (including shares issued pursuant to the exercise in full of the underwriters’ option to purchase additional shares) to purchase or redeem</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outstanding equity interests from certain of our pre-IPO owners.</w:t>
      </w:r>
    </w:p>
    <w:p>
      <w:pPr>
        <w:spacing w:after="0" w:line="157" w:lineRule="exact"/>
        <w:rPr>
          <w:sz w:val="20"/>
          <w:szCs w:val="20"/>
          <w:color w:val="auto"/>
        </w:rPr>
      </w:pPr>
    </w:p>
    <w:p>
      <w:pPr>
        <w:ind w:left="1400" w:right="359" w:firstLine="339"/>
        <w:spacing w:after="0" w:line="263" w:lineRule="auto"/>
        <w:rPr>
          <w:sz w:val="20"/>
          <w:szCs w:val="20"/>
          <w:color w:val="auto"/>
        </w:rPr>
      </w:pPr>
      <w:r>
        <w:rPr>
          <w:rFonts w:ascii="Times New Roman" w:cs="Times New Roman" w:eastAsia="Times New Roman" w:hAnsi="Times New Roman"/>
          <w:sz w:val="14"/>
          <w:szCs w:val="14"/>
          <w:color w:val="auto"/>
        </w:rPr>
        <w:t>Accordingly, Medline Inc. directly or indirectly holds a number of Common Units that is equal to the number of shares of Class A common stock that it has issued, a relationship that we believe fosters transparency because it results in a single share of Class A common stock representing (albeit indirectly) the same percentage equity interests in Medline Holdings as a single Common Unit.</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10159"/>
          </w:cols>
          <w:pgMar w:left="300" w:top="383"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4" w:lineRule="exact"/>
        <w:rPr>
          <w:sz w:val="20"/>
          <w:szCs w:val="20"/>
          <w:color w:val="auto"/>
        </w:rPr>
      </w:pPr>
    </w:p>
    <w:p>
      <w:pPr>
        <w:ind w:left="1400" w:right="319" w:firstLine="339"/>
        <w:spacing w:after="0" w:line="278" w:lineRule="auto"/>
        <w:rPr>
          <w:sz w:val="20"/>
          <w:szCs w:val="20"/>
          <w:color w:val="auto"/>
        </w:rPr>
      </w:pPr>
      <w:r>
        <w:rPr>
          <w:rFonts w:ascii="Times New Roman" w:cs="Times New Roman" w:eastAsia="Times New Roman" w:hAnsi="Times New Roman"/>
          <w:sz w:val="14"/>
          <w:szCs w:val="14"/>
          <w:color w:val="auto"/>
        </w:rPr>
        <w:t>We will not receive any proceeds from the sale of the shares of our Class A common stock offered by the selling stockholders (including any sales pursuant to the underwriters’ option to purchase additional shares from the selling stockholders).</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10159"/>
          </w:cols>
          <w:pgMar w:left="300" w:top="383"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DIVIDEND POLICY</w:t>
      </w:r>
    </w:p>
    <w:p>
      <w:pPr>
        <w:spacing w:after="0" w:line="174" w:lineRule="exact"/>
        <w:rPr>
          <w:sz w:val="20"/>
          <w:szCs w:val="20"/>
          <w:color w:val="auto"/>
        </w:rPr>
      </w:pPr>
    </w:p>
    <w:p>
      <w:pPr>
        <w:ind w:left="1400" w:right="319" w:firstLine="339"/>
        <w:spacing w:after="0" w:line="251" w:lineRule="auto"/>
        <w:rPr>
          <w:sz w:val="20"/>
          <w:szCs w:val="20"/>
          <w:color w:val="auto"/>
        </w:rPr>
      </w:pPr>
      <w:r>
        <w:rPr>
          <w:rFonts w:ascii="Times New Roman" w:cs="Times New Roman" w:eastAsia="Times New Roman" w:hAnsi="Times New Roman"/>
          <w:sz w:val="14"/>
          <w:szCs w:val="14"/>
          <w:color w:val="auto"/>
        </w:rPr>
        <w:t>We have no current plans to pay dividends on our Class A common stock. The declaration, amount and payment of any future dividends on shares of Class A common stock will be at the sole discretion of our board of directors subject to capital availability, applicable laws, and compliance with contractual restrictions and covenants in the agreements governing our current and future indebtedness, as well as our amended and restated certificate of incorporation. We may reduce or discontinue entirely the payment of such dividends at any time. Our board of directors may take into account general and economic conditions, our financial condition and operating results, our available cash, current and anticipated cash needs, capital requirements, contractual, legal, tax, and regulatory restrictions and implications on the payment of dividends by us to our stockholders or by our subsidiaries to us, and such other factors as our board of directors may deem relevant. Our amended and restated certificate of incorporation provides that holders of Class B common stock shall not be entitled to any dividends on their shares of Class B common stock (other than dividends payable in the form of additional shares of Class B common stock).</w:t>
      </w:r>
    </w:p>
    <w:p>
      <w:pPr>
        <w:spacing w:after="0" w:line="148" w:lineRule="exact"/>
        <w:rPr>
          <w:sz w:val="20"/>
          <w:szCs w:val="20"/>
          <w:color w:val="auto"/>
        </w:rPr>
      </w:pPr>
    </w:p>
    <w:p>
      <w:pPr>
        <w:ind w:left="1400" w:right="279" w:firstLine="339"/>
        <w:spacing w:after="0" w:line="250" w:lineRule="auto"/>
        <w:rPr>
          <w:sz w:val="20"/>
          <w:szCs w:val="20"/>
          <w:color w:val="auto"/>
        </w:rPr>
      </w:pPr>
      <w:r>
        <w:rPr>
          <w:rFonts w:ascii="Times New Roman" w:cs="Times New Roman" w:eastAsia="Times New Roman" w:hAnsi="Times New Roman"/>
          <w:sz w:val="14"/>
          <w:szCs w:val="14"/>
          <w:color w:val="auto"/>
        </w:rPr>
        <w:t>Medline Inc. is a holding company and has no material assets other than its ownership of Common Units held directly or indirectly through wholly owned subsidiaries in Medline Holdings. We intend to cause Medline Holdings to make distributions to us in an amount sufficient to cover our taxes, expenses, and obligations under the tax receivable agreement as well as any cash dividends declared by us. If Medline Holdings makes such distributions to Medline Inc., the other holders of Common Units and any participating Incentive Units (as described below) will also be entitled to receive distributions pro rata in accordance with the percentages of their respective Common Units or Incentive Units, as applicable, held. Incentive Units initially will not be entitled to receive distributions (other than tax distributions) until holders of Common Units have received a minimum return as provided in the amended and restated limited partnership agreement of Medline Holdings. However, Incentive Units will have the benefit of adjustment provisions that will reduce the participation threshold for distributions in respect of which they do not participate until there is no participation threshold, at and after which time the Incentive Units would participate pro rata with distributions on Common Units. The adjustment to the participation threshold of an Incentive Unit for distributions in respect of which such Incentive Unit does not participate will be factored into calculating the number of Common Units the holder of vested Incentive Units would receive upon conversion of a vested Incentive Unit for a Common Unit.</w:t>
      </w:r>
    </w:p>
    <w:p>
      <w:pPr>
        <w:spacing w:after="0" w:line="15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The amended and restated limited partnership agreement of Medline Holdings provides that pro rata cash distributions be made to Continuing</w:t>
      </w:r>
    </w:p>
    <w:p>
      <w:pPr>
        <w:spacing w:after="0" w:line="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Unitholders (including Medline Inc.) at certain assumed tax rates, which we refer to as “tax distributions.” Tax distributions will be pro rata as among</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 Common Units. See “Part III—Item 13—Certain Relationships and Related Transactions, and Director Independence” in our 2025 Form 10-K</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incorporated by reference in this prospectus. We anticipate that amounts received by Medline Inc. in certain periods are likely to exceed Medline Inc.’s</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actual tax liabilities and obligations to make payments under the tax receivable agreement. Our board of directors, in its sole discretion, will make any</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determination from time to time with respect to the use of any such excess cash so accumulated, which may include, among other uses, funding</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repurchases of Class A common stock; acquiring additional Common Units at a per unit price determined by reference to the market value of the</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Class A common stock; paying dividends, which may include special dividends, on its Class A common stock; or any combination of the foregoing. We</w:t>
      </w:r>
    </w:p>
    <w:p>
      <w:pPr>
        <w:spacing w:after="0" w:line="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also expect, if necessary, to undertake ameliorative actions, which may include pro rata or non-pro rata reclassifications, combinations, subdivisions or</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adjustments of outstanding Common Units, to maintain 1:1 parity between Common Units and shares of Class A common stock. See “Part I—Item 1A</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—Risk Factors—Risks Related to Our Organizational Structure—Medline Inc. is a holding company and its only material assets are its equity interests</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held directly or indirectly through wholly owned subsidiaries in Medline Holdings, and it is accordingly dependent upon distributions from Medline</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Holdings to pay taxes, make payments under the tax receivable agreement, and pay any dividends” in our 2025 Form 10-K incorporated by reference in</w:t>
      </w:r>
    </w:p>
    <w:p>
      <w:pPr>
        <w:spacing w:after="0" w:line="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this prospectus.</w:t>
      </w:r>
    </w:p>
    <w:p>
      <w:pPr>
        <w:spacing w:after="0" w:line="10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42</w:t>
      </w:r>
    </w:p>
    <w:p>
      <w:pPr>
        <w:sectPr>
          <w:pgSz w:w="11900" w:h="16838" w:orient="portrait"/>
          <w:cols w:equalWidth="0" w:num="1">
            <w:col w:w="10159"/>
          </w:cols>
          <w:pgMar w:left="300" w:top="383"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19" w:firstLine="339"/>
        <w:spacing w:after="0" w:line="318" w:lineRule="auto"/>
        <w:rPr>
          <w:sz w:val="20"/>
          <w:szCs w:val="20"/>
          <w:color w:val="auto"/>
        </w:rPr>
      </w:pPr>
      <w:r>
        <w:rPr>
          <w:rFonts w:ascii="Times New Roman" w:cs="Times New Roman" w:eastAsia="Times New Roman" w:hAnsi="Times New Roman"/>
          <w:sz w:val="13"/>
          <w:szCs w:val="13"/>
          <w:color w:val="auto"/>
        </w:rPr>
        <w:t>The credit agreement governing our Senior Secured Credit Facilities and the indentures governing our Senior Notes contain a number of covenants that restrict, subject to certain exceptions, the ability of the restricted subsidiaries of Medline Holdings to pay dividends or distributions to us.</w:t>
      </w:r>
    </w:p>
    <w:p>
      <w:pPr>
        <w:spacing w:after="0" w:line="103" w:lineRule="exact"/>
        <w:rPr>
          <w:sz w:val="20"/>
          <w:szCs w:val="20"/>
          <w:color w:val="auto"/>
        </w:rPr>
      </w:pPr>
    </w:p>
    <w:p>
      <w:pPr>
        <w:ind w:left="1400" w:right="299" w:firstLine="339"/>
        <w:spacing w:after="0" w:line="258" w:lineRule="auto"/>
        <w:rPr>
          <w:sz w:val="20"/>
          <w:szCs w:val="20"/>
          <w:color w:val="auto"/>
        </w:rPr>
      </w:pPr>
      <w:r>
        <w:rPr>
          <w:rFonts w:ascii="Times New Roman" w:cs="Times New Roman" w:eastAsia="Times New Roman" w:hAnsi="Times New Roman"/>
          <w:sz w:val="14"/>
          <w:szCs w:val="14"/>
          <w:color w:val="auto"/>
        </w:rPr>
        <w:t>Any financing arrangements that we enter into in the future may include restrictive covenants that limit our ability to pay dividends. In addition, Medline Holdings is generally prohibited under Delaware law from making a distribution to a member to the extent that, at the time of the distribution, after giving effect to the distribution, liabilities of Medline Holdings (with certain exceptions) exceed the fair value of its assets. Subsidiaries of Medline Holdings are generally subject to similar legal limitations on their ability to make distributions to Medline Holdings.</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43</w:t>
      </w:r>
    </w:p>
    <w:p>
      <w:pPr>
        <w:sectPr>
          <w:pgSz w:w="11900" w:h="16838" w:orient="portrait"/>
          <w:cols w:equalWidth="0" w:num="1">
            <w:col w:w="10159"/>
          </w:cols>
          <w:pgMar w:left="300" w:top="383"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PRINCIPAL AND SELLING STOCKHOLDERS</w:t>
      </w:r>
    </w:p>
    <w:p>
      <w:pPr>
        <w:spacing w:after="0" w:line="174" w:lineRule="exact"/>
        <w:rPr>
          <w:sz w:val="20"/>
          <w:szCs w:val="20"/>
          <w:color w:val="auto"/>
        </w:rPr>
      </w:pPr>
    </w:p>
    <w:p>
      <w:pPr>
        <w:ind w:left="1400" w:right="399" w:firstLine="339"/>
        <w:spacing w:after="0" w:line="292" w:lineRule="auto"/>
        <w:rPr>
          <w:sz w:val="20"/>
          <w:szCs w:val="20"/>
          <w:color w:val="auto"/>
        </w:rPr>
      </w:pPr>
      <w:r>
        <w:rPr>
          <w:rFonts w:ascii="Times New Roman" w:cs="Times New Roman" w:eastAsia="Times New Roman" w:hAnsi="Times New Roman"/>
          <w:sz w:val="13"/>
          <w:szCs w:val="13"/>
          <w:color w:val="auto"/>
        </w:rPr>
        <w:t>The following table sets forth information regarding the beneficial ownership of shares of our Class A common stock and our Class B common stock as of May 4, 2026, by (1) the selling stockholders, (2) each person known to us to beneficially own more than 5% of any class of the outstanding voting securities of Medline Inc., (3) each of our directors and named executive officers and (4) all of our directors and executive officers as a group.</w:t>
      </w:r>
    </w:p>
    <w:p>
      <w:pPr>
        <w:spacing w:after="0" w:line="120" w:lineRule="exact"/>
        <w:rPr>
          <w:sz w:val="20"/>
          <w:szCs w:val="20"/>
          <w:color w:val="auto"/>
        </w:rPr>
      </w:pPr>
    </w:p>
    <w:p>
      <w:pPr>
        <w:ind w:left="1400" w:right="319" w:firstLine="339"/>
        <w:spacing w:after="0" w:line="258" w:lineRule="auto"/>
        <w:rPr>
          <w:sz w:val="20"/>
          <w:szCs w:val="20"/>
          <w:color w:val="auto"/>
        </w:rPr>
      </w:pPr>
      <w:r>
        <w:rPr>
          <w:rFonts w:ascii="Times New Roman" w:cs="Times New Roman" w:eastAsia="Times New Roman" w:hAnsi="Times New Roman"/>
          <w:sz w:val="14"/>
          <w:szCs w:val="14"/>
          <w:color w:val="auto"/>
        </w:rPr>
        <w:t>The percentage of beneficial ownership of shares of our Class A common stock and our Class B common stock outstanding before the offering set forth below is based on the number of shares of our Class A common stock and our Class B common stock issued and outstanding as of May 4, 2026. The percentage of beneficial ownership of our Class A common stock and our Class B common stock after the offering set forth below is based on shares of our Class A common stock and our Class B common stock issued and outstanding immediately after the offering.</w:t>
      </w:r>
    </w:p>
    <w:p>
      <w:pPr>
        <w:spacing w:after="0" w:line="140" w:lineRule="exact"/>
        <w:rPr>
          <w:sz w:val="20"/>
          <w:szCs w:val="20"/>
          <w:color w:val="auto"/>
        </w:rPr>
      </w:pPr>
    </w:p>
    <w:p>
      <w:pPr>
        <w:ind w:left="1400" w:right="279" w:firstLine="339"/>
        <w:spacing w:after="0" w:line="252" w:lineRule="auto"/>
        <w:rPr>
          <w:sz w:val="20"/>
          <w:szCs w:val="20"/>
          <w:color w:val="auto"/>
        </w:rPr>
      </w:pPr>
      <w:r>
        <w:rPr>
          <w:rFonts w:ascii="Times New Roman" w:cs="Times New Roman" w:eastAsia="Times New Roman" w:hAnsi="Times New Roman"/>
          <w:sz w:val="14"/>
          <w:szCs w:val="14"/>
          <w:color w:val="auto"/>
        </w:rPr>
        <w:t>Beneficial ownership is determined in accordance with the rules of the SEC. These rules generally attribute beneficial ownership of securities to persons who possess sole or shared voting power or investment power with respect to those securities. In addition, these rules require that we include shares of Class A common stock and/or Class B common stock, as applicable, issuable pursuant to the exchange of Common Units, conversion of vested Incentive Units, or otherwise are either immediately exchangeable or convertible within 60 days of May 4, 2026. These securities are deemed to be outstanding and beneficially owned by the person holding those Common Units or Incentive Units, as applicable, for the purpose of computing the percentage ownership of that person, but they are not treated as outstanding for the purpose of computing the percentage ownership of any other person. Unless otherwise indicated, the persons or entities identified in this table have sole voting and investment power with respect to all securities shown as beneficially owned by them, subject to applicable community property laws.</w:t>
      </w:r>
    </w:p>
    <w:p>
      <w:pPr>
        <w:spacing w:after="0" w:line="14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Except as otherwise noted below, the address for persons listed in the table is c/o Medline Inc., 3 Lakes Drive, Northfield, Illinois 60093.</w:t>
      </w:r>
    </w:p>
    <w:p>
      <w:pPr>
        <w:spacing w:after="0" w:line="172" w:lineRule="exact"/>
        <w:rPr>
          <w:sz w:val="20"/>
          <w:szCs w:val="20"/>
          <w:color w:val="auto"/>
        </w:rPr>
      </w:pPr>
    </w:p>
    <w:p>
      <w:pPr>
        <w:ind w:left="1400" w:right="379" w:firstLine="339"/>
        <w:spacing w:after="0" w:line="251" w:lineRule="auto"/>
        <w:rPr>
          <w:sz w:val="20"/>
          <w:szCs w:val="20"/>
          <w:color w:val="auto"/>
        </w:rPr>
      </w:pPr>
      <w:r>
        <w:rPr>
          <w:rFonts w:ascii="Times New Roman" w:cs="Times New Roman" w:eastAsia="Times New Roman" w:hAnsi="Times New Roman"/>
          <w:sz w:val="14"/>
          <w:szCs w:val="14"/>
          <w:color w:val="auto"/>
        </w:rPr>
        <w:t>In connection with the IPO, we issued to each Continuing Common Unitholder one share of Class B common stock for each Common Unit such Continuing Common Unitholder beneficially owned immediately prior to the consummation of the Reorganization Transactions. Upon conversion of vested Incentive Units for Common Units, the converting holders also receive an equivalent number of shares of Class B common stock. Upon an exchange by any such Continuing Unitholder of Common Units for shares of our Class A common stock pursuant to the Exchange Agreement, an equivalent number of shares of Class B common stock held by each such Continuing Unitholder will be automatically transferred to us and cancelled and retired. See “Part III—Item 13—Certain Relationships and Related Transactions, and Director Independence” in our 2025 Form 10-K incorporated by reference in this prospectus. As a result, the number of shares of our Class B common stock listed in the table below correlates to the number of Common Units each Continuing Unitholder beneficially owns. The Continuing Common Unitholders hold all of the outstanding shares of our Class B common stock. The shares of Class B common stock have no economic rights but entitle each holder to one vote for each share held of record on all matters to be voted on by stockholders generally, with the number of shares of Class B common stock held by each Continuing Unitholder being equivalent to the number of Common Units held by each such Continuing Unitholder.</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44</w:t>
      </w:r>
    </w:p>
    <w:p>
      <w:pPr>
        <w:sectPr>
          <w:pgSz w:w="11900" w:h="16838" w:orient="portrait"/>
          <w:cols w:equalWidth="0" w:num="1">
            <w:col w:w="10159"/>
          </w:cols>
          <w:pgMar w:left="300" w:top="383"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52" w:lineRule="exact"/>
        <w:rPr>
          <w:sz w:val="20"/>
          <w:szCs w:val="20"/>
          <w:color w:val="auto"/>
        </w:rPr>
      </w:pPr>
    </w:p>
    <w:tbl>
      <w:tblPr>
        <w:tblLayout w:type="fixed"/>
        <w:tblInd w:w="1400" w:type="dxa"/>
        <w:tblCellMar>
          <w:top w:w="0" w:type="dxa"/>
          <w:left w:w="0" w:type="dxa"/>
          <w:bottom w:w="0" w:type="dxa"/>
          <w:right w:w="0" w:type="dxa"/>
        </w:tblCellMar>
      </w:tblPr>
      <w:tr>
        <w:trPr>
          <w:trHeight w:val="104"/>
        </w:trPr>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0" w:type="dxa"/>
            <w:vAlign w:val="bottom"/>
            <w:gridSpan w:val="3"/>
          </w:tcPr>
          <w:p>
            <w:pPr>
              <w:jc w:val="right"/>
              <w:ind w:right="56"/>
              <w:spacing w:after="0"/>
              <w:rPr>
                <w:sz w:val="20"/>
                <w:szCs w:val="20"/>
                <w:color w:val="auto"/>
              </w:rPr>
            </w:pPr>
            <w:r>
              <w:rPr>
                <w:rFonts w:ascii="Times New Roman" w:cs="Times New Roman" w:eastAsia="Times New Roman" w:hAnsi="Times New Roman"/>
                <w:sz w:val="9"/>
                <w:szCs w:val="9"/>
                <w:b w:val="1"/>
                <w:bCs w:val="1"/>
                <w:color w:val="auto"/>
              </w:rPr>
              <w:t>Class A Common Stock</w:t>
            </w: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0" w:type="dxa"/>
            <w:vAlign w:val="bottom"/>
            <w:gridSpan w:val="9"/>
          </w:tcPr>
          <w:p>
            <w:pPr>
              <w:jc w:val="center"/>
              <w:ind w:right="76"/>
              <w:spacing w:after="0" w:line="113" w:lineRule="exact"/>
              <w:rPr>
                <w:sz w:val="20"/>
                <w:szCs w:val="20"/>
                <w:color w:val="auto"/>
              </w:rPr>
            </w:pPr>
            <w:r>
              <w:rPr>
                <w:rFonts w:ascii="Times New Roman" w:cs="Times New Roman" w:eastAsia="Times New Roman" w:hAnsi="Times New Roman"/>
                <w:sz w:val="9"/>
                <w:szCs w:val="9"/>
                <w:b w:val="1"/>
                <w:bCs w:val="1"/>
                <w:color w:val="auto"/>
                <w:w w:val="98"/>
              </w:rPr>
              <w:t>Class A Common Stock Beneficially Owned</w:t>
            </w:r>
            <w:r>
              <w:rPr>
                <w:rFonts w:ascii="Times New Roman" w:cs="Times New Roman" w:eastAsia="Times New Roman" w:hAnsi="Times New Roman"/>
                <w:sz w:val="13"/>
                <w:szCs w:val="13"/>
                <w:b w:val="1"/>
                <w:bCs w:val="1"/>
                <w:color w:val="auto"/>
                <w:w w:val="98"/>
                <w:vertAlign w:val="superscript"/>
              </w:rPr>
              <w:t>(1)</w:t>
            </w: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0" w:type="dxa"/>
            <w:vAlign w:val="bottom"/>
            <w:gridSpan w:val="9"/>
          </w:tcPr>
          <w:p>
            <w:pPr>
              <w:jc w:val="center"/>
              <w:ind w:right="56"/>
              <w:spacing w:after="0" w:line="113" w:lineRule="exact"/>
              <w:rPr>
                <w:sz w:val="20"/>
                <w:szCs w:val="20"/>
                <w:color w:val="auto"/>
              </w:rPr>
            </w:pPr>
            <w:r>
              <w:rPr>
                <w:rFonts w:ascii="Times New Roman" w:cs="Times New Roman" w:eastAsia="Times New Roman" w:hAnsi="Times New Roman"/>
                <w:sz w:val="9"/>
                <w:szCs w:val="9"/>
                <w:b w:val="1"/>
                <w:bCs w:val="1"/>
                <w:color w:val="auto"/>
                <w:w w:val="98"/>
              </w:rPr>
              <w:t>Class B Common Stock Beneficially Owned</w:t>
            </w:r>
            <w:r>
              <w:rPr>
                <w:rFonts w:ascii="Times New Roman" w:cs="Times New Roman" w:eastAsia="Times New Roman" w:hAnsi="Times New Roman"/>
                <w:sz w:val="13"/>
                <w:szCs w:val="13"/>
                <w:b w:val="1"/>
                <w:bCs w:val="1"/>
                <w:color w:val="auto"/>
                <w:w w:val="98"/>
                <w:vertAlign w:val="superscript"/>
              </w:rPr>
              <w:t>(1)</w:t>
            </w: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gridSpan w:val="4"/>
          </w:tcPr>
          <w:p>
            <w:pPr>
              <w:jc w:val="right"/>
              <w:spacing w:after="0" w:line="113" w:lineRule="exact"/>
              <w:rPr>
                <w:sz w:val="20"/>
                <w:szCs w:val="20"/>
                <w:color w:val="auto"/>
              </w:rPr>
            </w:pPr>
            <w:r>
              <w:rPr>
                <w:rFonts w:ascii="Times New Roman" w:cs="Times New Roman" w:eastAsia="Times New Roman" w:hAnsi="Times New Roman"/>
                <w:sz w:val="9"/>
                <w:szCs w:val="9"/>
                <w:b w:val="1"/>
                <w:bCs w:val="1"/>
                <w:color w:val="auto"/>
                <w:w w:val="97"/>
              </w:rPr>
              <w:t>to Be Sold in this Offering</w:t>
            </w:r>
            <w:r>
              <w:rPr>
                <w:rFonts w:ascii="Times New Roman" w:cs="Times New Roman" w:eastAsia="Times New Roman" w:hAnsi="Times New Roman"/>
                <w:sz w:val="13"/>
                <w:szCs w:val="13"/>
                <w:b w:val="1"/>
                <w:bCs w:val="1"/>
                <w:color w:val="auto"/>
                <w:w w:val="97"/>
                <w:vertAlign w:val="superscript"/>
              </w:rPr>
              <w:t>(2)</w:t>
            </w:r>
          </w:p>
        </w:tc>
        <w:tc>
          <w:tcPr>
            <w:tcW w:w="20" w:type="dxa"/>
            <w:vAlign w:val="bottom"/>
          </w:tcPr>
          <w:p>
            <w:pPr>
              <w:spacing w:after="0"/>
              <w:rPr>
                <w:sz w:val="9"/>
                <w:szCs w:val="9"/>
                <w:color w:val="auto"/>
              </w:rPr>
            </w:pPr>
          </w:p>
        </w:tc>
        <w:tc>
          <w:tcPr>
            <w:tcW w:w="1360" w:type="dxa"/>
            <w:vAlign w:val="bottom"/>
            <w:gridSpan w:val="5"/>
          </w:tcPr>
          <w:p>
            <w:pPr>
              <w:ind w:left="260"/>
              <w:spacing w:after="0" w:line="113" w:lineRule="exact"/>
              <w:rPr>
                <w:sz w:val="20"/>
                <w:szCs w:val="20"/>
                <w:color w:val="auto"/>
              </w:rPr>
            </w:pPr>
            <w:r>
              <w:rPr>
                <w:rFonts w:ascii="Times New Roman" w:cs="Times New Roman" w:eastAsia="Times New Roman" w:hAnsi="Times New Roman"/>
                <w:sz w:val="9"/>
                <w:szCs w:val="9"/>
                <w:b w:val="1"/>
                <w:bCs w:val="1"/>
                <w:color w:val="auto"/>
              </w:rPr>
              <w:t>Combined Voting Power</w:t>
            </w:r>
            <w:r>
              <w:rPr>
                <w:rFonts w:ascii="Times New Roman" w:cs="Times New Roman" w:eastAsia="Times New Roman" w:hAnsi="Times New Roman"/>
                <w:sz w:val="13"/>
                <w:szCs w:val="13"/>
                <w:b w:val="1"/>
                <w:bCs w:val="1"/>
                <w:color w:val="auto"/>
                <w:vertAlign w:val="superscript"/>
              </w:rPr>
              <w:t>(3)</w:t>
            </w: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800" w:type="dxa"/>
            <w:vAlign w:val="bottom"/>
            <w:tcBorders>
              <w:top w:val="single" w:sz="8" w:color="auto"/>
            </w:tcBorders>
            <w:gridSpan w:val="3"/>
          </w:tcPr>
          <w:p>
            <w:pPr>
              <w:jc w:val="center"/>
              <w:ind w:left="116"/>
              <w:spacing w:after="0" w:line="73" w:lineRule="exact"/>
              <w:rPr>
                <w:sz w:val="20"/>
                <w:szCs w:val="20"/>
                <w:color w:val="auto"/>
              </w:rPr>
            </w:pPr>
            <w:r>
              <w:rPr>
                <w:rFonts w:ascii="Times New Roman" w:cs="Times New Roman" w:eastAsia="Times New Roman" w:hAnsi="Times New Roman"/>
                <w:sz w:val="8"/>
                <w:szCs w:val="8"/>
                <w:b w:val="1"/>
                <w:bCs w:val="1"/>
                <w:color w:val="auto"/>
              </w:rPr>
              <w:t>After the</w:t>
            </w:r>
          </w:p>
        </w:tc>
        <w:tc>
          <w:tcPr>
            <w:tcW w:w="18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800" w:type="dxa"/>
            <w:vAlign w:val="bottom"/>
            <w:tcBorders>
              <w:top w:val="single" w:sz="8" w:color="auto"/>
            </w:tcBorders>
            <w:gridSpan w:val="3"/>
          </w:tcPr>
          <w:p>
            <w:pPr>
              <w:jc w:val="center"/>
              <w:ind w:left="116"/>
              <w:spacing w:after="0" w:line="73" w:lineRule="exact"/>
              <w:rPr>
                <w:sz w:val="20"/>
                <w:szCs w:val="20"/>
                <w:color w:val="auto"/>
              </w:rPr>
            </w:pPr>
            <w:r>
              <w:rPr>
                <w:rFonts w:ascii="Times New Roman" w:cs="Times New Roman" w:eastAsia="Times New Roman" w:hAnsi="Times New Roman"/>
                <w:sz w:val="8"/>
                <w:szCs w:val="8"/>
                <w:b w:val="1"/>
                <w:bCs w:val="1"/>
                <w:color w:val="auto"/>
              </w:rPr>
              <w:t>After the</w:t>
            </w:r>
          </w:p>
        </w:tc>
        <w:tc>
          <w:tcPr>
            <w:tcW w:w="16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820" w:type="dxa"/>
            <w:vAlign w:val="bottom"/>
            <w:tcBorders>
              <w:top w:val="single" w:sz="8" w:color="auto"/>
            </w:tcBorders>
            <w:gridSpan w:val="3"/>
          </w:tcPr>
          <w:p>
            <w:pPr>
              <w:jc w:val="center"/>
              <w:ind w:left="136"/>
              <w:spacing w:after="0" w:line="73" w:lineRule="exact"/>
              <w:rPr>
                <w:sz w:val="20"/>
                <w:szCs w:val="20"/>
                <w:color w:val="auto"/>
              </w:rPr>
            </w:pPr>
            <w:r>
              <w:rPr>
                <w:rFonts w:ascii="Times New Roman" w:cs="Times New Roman" w:eastAsia="Times New Roman" w:hAnsi="Times New Roman"/>
                <w:sz w:val="8"/>
                <w:szCs w:val="8"/>
                <w:b w:val="1"/>
                <w:bCs w:val="1"/>
                <w:color w:val="auto"/>
              </w:rPr>
              <w:t>After the</w:t>
            </w:r>
          </w:p>
        </w:tc>
        <w:tc>
          <w:tcPr>
            <w:tcW w:w="16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800" w:type="dxa"/>
            <w:vAlign w:val="bottom"/>
            <w:tcBorders>
              <w:top w:val="single" w:sz="8" w:color="auto"/>
            </w:tcBorders>
            <w:gridSpan w:val="3"/>
          </w:tcPr>
          <w:p>
            <w:pPr>
              <w:jc w:val="center"/>
              <w:ind w:left="116"/>
              <w:spacing w:after="0" w:line="73" w:lineRule="exact"/>
              <w:rPr>
                <w:sz w:val="20"/>
                <w:szCs w:val="20"/>
                <w:color w:val="auto"/>
              </w:rPr>
            </w:pPr>
            <w:r>
              <w:rPr>
                <w:rFonts w:ascii="Times New Roman" w:cs="Times New Roman" w:eastAsia="Times New Roman" w:hAnsi="Times New Roman"/>
                <w:sz w:val="8"/>
                <w:szCs w:val="8"/>
                <w:b w:val="1"/>
                <w:bCs w:val="1"/>
                <w:color w:val="auto"/>
              </w:rPr>
              <w:t>After the</w:t>
            </w:r>
          </w:p>
        </w:tc>
        <w:tc>
          <w:tcPr>
            <w:tcW w:w="18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540" w:type="dxa"/>
            <w:vAlign w:val="bottom"/>
            <w:tcBorders>
              <w:top w:val="single" w:sz="8" w:color="auto"/>
            </w:tcBorders>
            <w:gridSpan w:val="2"/>
          </w:tcPr>
          <w:p>
            <w:pPr>
              <w:jc w:val="center"/>
              <w:spacing w:after="0" w:line="73" w:lineRule="exact"/>
              <w:rPr>
                <w:sz w:val="20"/>
                <w:szCs w:val="20"/>
                <w:color w:val="auto"/>
              </w:rPr>
            </w:pPr>
            <w:r>
              <w:rPr>
                <w:rFonts w:ascii="Times New Roman" w:cs="Times New Roman" w:eastAsia="Times New Roman" w:hAnsi="Times New Roman"/>
                <w:sz w:val="8"/>
                <w:szCs w:val="8"/>
                <w:b w:val="1"/>
                <w:bCs w:val="1"/>
                <w:color w:val="auto"/>
              </w:rPr>
              <w:t>After the</w:t>
            </w:r>
          </w:p>
        </w:tc>
        <w:tc>
          <w:tcPr>
            <w:tcW w:w="520" w:type="dxa"/>
            <w:vAlign w:val="bottom"/>
            <w:tcBorders>
              <w:top w:val="single" w:sz="8" w:color="auto"/>
            </w:tcBorders>
            <w:gridSpan w:val="2"/>
          </w:tcPr>
          <w:p>
            <w:pPr>
              <w:jc w:val="center"/>
              <w:spacing w:after="0" w:line="73" w:lineRule="exact"/>
              <w:rPr>
                <w:sz w:val="20"/>
                <w:szCs w:val="20"/>
                <w:color w:val="auto"/>
              </w:rPr>
            </w:pPr>
            <w:r>
              <w:rPr>
                <w:rFonts w:ascii="Times New Roman" w:cs="Times New Roman" w:eastAsia="Times New Roman" w:hAnsi="Times New Roman"/>
                <w:sz w:val="8"/>
                <w:szCs w:val="8"/>
                <w:b w:val="1"/>
                <w:bCs w:val="1"/>
                <w:color w:val="auto"/>
              </w:rPr>
              <w:t>After the</w:t>
            </w:r>
          </w:p>
        </w:tc>
        <w:tc>
          <w:tcPr>
            <w:tcW w:w="0" w:type="dxa"/>
            <w:vAlign w:val="bottom"/>
          </w:tcPr>
          <w:p>
            <w:pPr>
              <w:spacing w:after="0"/>
              <w:rPr>
                <w:sz w:val="1"/>
                <w:szCs w:val="1"/>
                <w:color w:val="auto"/>
              </w:rPr>
            </w:pPr>
          </w:p>
        </w:tc>
      </w:tr>
      <w:tr>
        <w:trPr>
          <w:trHeight w:val="94"/>
        </w:trPr>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gridSpan w:val="3"/>
          </w:tcPr>
          <w:p>
            <w:pPr>
              <w:jc w:val="center"/>
              <w:ind w:left="136"/>
              <w:spacing w:after="0"/>
              <w:rPr>
                <w:sz w:val="20"/>
                <w:szCs w:val="20"/>
                <w:color w:val="auto"/>
              </w:rPr>
            </w:pPr>
            <w:r>
              <w:rPr>
                <w:rFonts w:ascii="Times New Roman" w:cs="Times New Roman" w:eastAsia="Times New Roman" w:hAnsi="Times New Roman"/>
                <w:sz w:val="8"/>
                <w:szCs w:val="8"/>
                <w:b w:val="1"/>
                <w:bCs w:val="1"/>
                <w:color w:val="auto"/>
              </w:rPr>
              <w:t>Offering</w:t>
            </w: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gridSpan w:val="3"/>
          </w:tcPr>
          <w:p>
            <w:pPr>
              <w:jc w:val="center"/>
              <w:ind w:left="96"/>
              <w:spacing w:after="0"/>
              <w:rPr>
                <w:sz w:val="20"/>
                <w:szCs w:val="20"/>
                <w:color w:val="auto"/>
              </w:rPr>
            </w:pPr>
            <w:r>
              <w:rPr>
                <w:rFonts w:ascii="Times New Roman" w:cs="Times New Roman" w:eastAsia="Times New Roman" w:hAnsi="Times New Roman"/>
                <w:sz w:val="8"/>
                <w:szCs w:val="8"/>
                <w:b w:val="1"/>
                <w:bCs w:val="1"/>
                <w:color w:val="auto"/>
              </w:rPr>
              <w:t>Offering</w:t>
            </w: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gridSpan w:val="3"/>
          </w:tcPr>
          <w:p>
            <w:pPr>
              <w:jc w:val="center"/>
              <w:ind w:left="116"/>
              <w:spacing w:after="0"/>
              <w:rPr>
                <w:sz w:val="20"/>
                <w:szCs w:val="20"/>
                <w:color w:val="auto"/>
              </w:rPr>
            </w:pPr>
            <w:r>
              <w:rPr>
                <w:rFonts w:ascii="Times New Roman" w:cs="Times New Roman" w:eastAsia="Times New Roman" w:hAnsi="Times New Roman"/>
                <w:sz w:val="8"/>
                <w:szCs w:val="8"/>
                <w:b w:val="1"/>
                <w:bCs w:val="1"/>
                <w:color w:val="auto"/>
              </w:rPr>
              <w:t>Offering</w:t>
            </w: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gridSpan w:val="3"/>
          </w:tcPr>
          <w:p>
            <w:pPr>
              <w:jc w:val="center"/>
              <w:ind w:left="116"/>
              <w:spacing w:after="0"/>
              <w:rPr>
                <w:sz w:val="20"/>
                <w:szCs w:val="20"/>
                <w:color w:val="auto"/>
              </w:rPr>
            </w:pPr>
            <w:r>
              <w:rPr>
                <w:rFonts w:ascii="Times New Roman" w:cs="Times New Roman" w:eastAsia="Times New Roman" w:hAnsi="Times New Roman"/>
                <w:sz w:val="8"/>
                <w:szCs w:val="8"/>
                <w:b w:val="1"/>
                <w:bCs w:val="1"/>
                <w:color w:val="auto"/>
              </w:rPr>
              <w:t>Offering</w:t>
            </w: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8"/>
                <w:szCs w:val="8"/>
                <w:b w:val="1"/>
                <w:bCs w:val="1"/>
                <w:color w:val="auto"/>
              </w:rPr>
              <w:t>Offering</w:t>
            </w: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8"/>
                <w:szCs w:val="8"/>
                <w:b w:val="1"/>
                <w:bCs w:val="1"/>
                <w:color w:val="auto"/>
              </w:rPr>
              <w:t>Offering</w:t>
            </w:r>
          </w:p>
        </w:tc>
        <w:tc>
          <w:tcPr>
            <w:tcW w:w="0" w:type="dxa"/>
            <w:vAlign w:val="bottom"/>
          </w:tcPr>
          <w:p>
            <w:pPr>
              <w:spacing w:after="0"/>
              <w:rPr>
                <w:sz w:val="1"/>
                <w:szCs w:val="1"/>
                <w:color w:val="auto"/>
              </w:rPr>
            </w:pPr>
          </w:p>
        </w:tc>
      </w:tr>
      <w:tr>
        <w:trPr>
          <w:trHeight w:val="94"/>
        </w:trPr>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gridSpan w:val="3"/>
          </w:tcPr>
          <w:p>
            <w:pPr>
              <w:jc w:val="center"/>
              <w:ind w:left="136"/>
              <w:spacing w:after="0"/>
              <w:rPr>
                <w:sz w:val="20"/>
                <w:szCs w:val="20"/>
                <w:color w:val="auto"/>
              </w:rPr>
            </w:pPr>
            <w:r>
              <w:rPr>
                <w:rFonts w:ascii="Times New Roman" w:cs="Times New Roman" w:eastAsia="Times New Roman" w:hAnsi="Times New Roman"/>
                <w:sz w:val="8"/>
                <w:szCs w:val="8"/>
                <w:b w:val="1"/>
                <w:bCs w:val="1"/>
                <w:color w:val="auto"/>
              </w:rPr>
              <w:t>Transactions</w:t>
            </w: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gridSpan w:val="3"/>
          </w:tcPr>
          <w:p>
            <w:pPr>
              <w:jc w:val="center"/>
              <w:ind w:left="96"/>
              <w:spacing w:after="0"/>
              <w:rPr>
                <w:sz w:val="20"/>
                <w:szCs w:val="20"/>
                <w:color w:val="auto"/>
              </w:rPr>
            </w:pPr>
            <w:r>
              <w:rPr>
                <w:rFonts w:ascii="Times New Roman" w:cs="Times New Roman" w:eastAsia="Times New Roman" w:hAnsi="Times New Roman"/>
                <w:sz w:val="8"/>
                <w:szCs w:val="8"/>
                <w:b w:val="1"/>
                <w:bCs w:val="1"/>
                <w:color w:val="auto"/>
              </w:rPr>
              <w:t>Transactions</w:t>
            </w: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gridSpan w:val="3"/>
          </w:tcPr>
          <w:p>
            <w:pPr>
              <w:jc w:val="center"/>
              <w:ind w:left="116"/>
              <w:spacing w:after="0"/>
              <w:rPr>
                <w:sz w:val="20"/>
                <w:szCs w:val="20"/>
                <w:color w:val="auto"/>
              </w:rPr>
            </w:pPr>
            <w:r>
              <w:rPr>
                <w:rFonts w:ascii="Times New Roman" w:cs="Times New Roman" w:eastAsia="Times New Roman" w:hAnsi="Times New Roman"/>
                <w:sz w:val="8"/>
                <w:szCs w:val="8"/>
                <w:b w:val="1"/>
                <w:bCs w:val="1"/>
                <w:color w:val="auto"/>
              </w:rPr>
              <w:t>Transactions</w:t>
            </w: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gridSpan w:val="3"/>
          </w:tcPr>
          <w:p>
            <w:pPr>
              <w:jc w:val="center"/>
              <w:ind w:left="116"/>
              <w:spacing w:after="0"/>
              <w:rPr>
                <w:sz w:val="20"/>
                <w:szCs w:val="20"/>
                <w:color w:val="auto"/>
              </w:rPr>
            </w:pPr>
            <w:r>
              <w:rPr>
                <w:rFonts w:ascii="Times New Roman" w:cs="Times New Roman" w:eastAsia="Times New Roman" w:hAnsi="Times New Roman"/>
                <w:sz w:val="8"/>
                <w:szCs w:val="8"/>
                <w:b w:val="1"/>
                <w:bCs w:val="1"/>
                <w:color w:val="auto"/>
                <w:w w:val="98"/>
              </w:rPr>
              <w:t>Transactions</w:t>
            </w: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8"/>
                <w:szCs w:val="8"/>
                <w:b w:val="1"/>
                <w:bCs w:val="1"/>
                <w:color w:val="auto"/>
              </w:rPr>
              <w:t>Transactions</w:t>
            </w: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8"/>
                <w:szCs w:val="8"/>
                <w:b w:val="1"/>
                <w:bCs w:val="1"/>
                <w:color w:val="auto"/>
              </w:rPr>
              <w:t>Transactions</w:t>
            </w:r>
          </w:p>
        </w:tc>
        <w:tc>
          <w:tcPr>
            <w:tcW w:w="0" w:type="dxa"/>
            <w:vAlign w:val="bottom"/>
          </w:tcPr>
          <w:p>
            <w:pPr>
              <w:spacing w:after="0"/>
              <w:rPr>
                <w:sz w:val="1"/>
                <w:szCs w:val="1"/>
                <w:color w:val="auto"/>
              </w:rPr>
            </w:pPr>
          </w:p>
        </w:tc>
      </w:tr>
      <w:tr>
        <w:trPr>
          <w:trHeight w:val="94"/>
        </w:trPr>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gridSpan w:val="3"/>
          </w:tcPr>
          <w:p>
            <w:pPr>
              <w:jc w:val="center"/>
              <w:ind w:left="116"/>
              <w:spacing w:after="0"/>
              <w:rPr>
                <w:sz w:val="20"/>
                <w:szCs w:val="20"/>
                <w:color w:val="auto"/>
              </w:rPr>
            </w:pPr>
            <w:r>
              <w:rPr>
                <w:rFonts w:ascii="Times New Roman" w:cs="Times New Roman" w:eastAsia="Times New Roman" w:hAnsi="Times New Roman"/>
                <w:sz w:val="8"/>
                <w:szCs w:val="8"/>
                <w:b w:val="1"/>
                <w:bCs w:val="1"/>
                <w:color w:val="auto"/>
              </w:rPr>
              <w:t>Assuming</w:t>
            </w: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gridSpan w:val="3"/>
          </w:tcPr>
          <w:p>
            <w:pPr>
              <w:jc w:val="center"/>
              <w:ind w:left="96"/>
              <w:spacing w:after="0"/>
              <w:rPr>
                <w:sz w:val="20"/>
                <w:szCs w:val="20"/>
                <w:color w:val="auto"/>
              </w:rPr>
            </w:pPr>
            <w:r>
              <w:rPr>
                <w:rFonts w:ascii="Times New Roman" w:cs="Times New Roman" w:eastAsia="Times New Roman" w:hAnsi="Times New Roman"/>
                <w:sz w:val="8"/>
                <w:szCs w:val="8"/>
                <w:b w:val="1"/>
                <w:bCs w:val="1"/>
                <w:color w:val="auto"/>
              </w:rPr>
              <w:t>Assuming</w:t>
            </w: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gridSpan w:val="3"/>
          </w:tcPr>
          <w:p>
            <w:pPr>
              <w:jc w:val="center"/>
              <w:ind w:left="116"/>
              <w:spacing w:after="0"/>
              <w:rPr>
                <w:sz w:val="20"/>
                <w:szCs w:val="20"/>
                <w:color w:val="auto"/>
              </w:rPr>
            </w:pPr>
            <w:r>
              <w:rPr>
                <w:rFonts w:ascii="Times New Roman" w:cs="Times New Roman" w:eastAsia="Times New Roman" w:hAnsi="Times New Roman"/>
                <w:sz w:val="8"/>
                <w:szCs w:val="8"/>
                <w:b w:val="1"/>
                <w:bCs w:val="1"/>
                <w:color w:val="auto"/>
              </w:rPr>
              <w:t>Assuming</w:t>
            </w: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gridSpan w:val="3"/>
          </w:tcPr>
          <w:p>
            <w:pPr>
              <w:jc w:val="center"/>
              <w:ind w:left="116"/>
              <w:spacing w:after="0"/>
              <w:rPr>
                <w:sz w:val="20"/>
                <w:szCs w:val="20"/>
                <w:color w:val="auto"/>
              </w:rPr>
            </w:pPr>
            <w:r>
              <w:rPr>
                <w:rFonts w:ascii="Times New Roman" w:cs="Times New Roman" w:eastAsia="Times New Roman" w:hAnsi="Times New Roman"/>
                <w:sz w:val="8"/>
                <w:szCs w:val="8"/>
                <w:b w:val="1"/>
                <w:bCs w:val="1"/>
                <w:color w:val="auto"/>
              </w:rPr>
              <w:t>Assuming</w:t>
            </w: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Assuming</w:t>
            </w: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8"/>
                <w:szCs w:val="8"/>
                <w:b w:val="1"/>
                <w:bCs w:val="1"/>
                <w:color w:val="auto"/>
              </w:rPr>
              <w:t>Assuming</w:t>
            </w: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8"/>
                <w:szCs w:val="8"/>
                <w:b w:val="1"/>
                <w:bCs w:val="1"/>
                <w:color w:val="auto"/>
              </w:rPr>
              <w:t>Assuming</w:t>
            </w:r>
          </w:p>
        </w:tc>
        <w:tc>
          <w:tcPr>
            <w:tcW w:w="0" w:type="dxa"/>
            <w:vAlign w:val="bottom"/>
          </w:tcPr>
          <w:p>
            <w:pPr>
              <w:spacing w:after="0"/>
              <w:rPr>
                <w:sz w:val="1"/>
                <w:szCs w:val="1"/>
                <w:color w:val="auto"/>
              </w:rPr>
            </w:pPr>
          </w:p>
        </w:tc>
      </w:tr>
      <w:tr>
        <w:trPr>
          <w:trHeight w:val="94"/>
        </w:trPr>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gridSpan w:val="3"/>
          </w:tcPr>
          <w:p>
            <w:pPr>
              <w:jc w:val="center"/>
              <w:ind w:left="136"/>
              <w:spacing w:after="0"/>
              <w:rPr>
                <w:sz w:val="20"/>
                <w:szCs w:val="20"/>
                <w:color w:val="auto"/>
              </w:rPr>
            </w:pPr>
            <w:r>
              <w:rPr>
                <w:rFonts w:ascii="Times New Roman" w:cs="Times New Roman" w:eastAsia="Times New Roman" w:hAnsi="Times New Roman"/>
                <w:sz w:val="8"/>
                <w:szCs w:val="8"/>
                <w:b w:val="1"/>
                <w:bCs w:val="1"/>
                <w:color w:val="auto"/>
              </w:rPr>
              <w:t>Underwriters’</w:t>
            </w: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gridSpan w:val="3"/>
          </w:tcPr>
          <w:p>
            <w:pPr>
              <w:jc w:val="center"/>
              <w:ind w:left="96"/>
              <w:spacing w:after="0"/>
              <w:rPr>
                <w:sz w:val="20"/>
                <w:szCs w:val="20"/>
                <w:color w:val="auto"/>
              </w:rPr>
            </w:pPr>
            <w:r>
              <w:rPr>
                <w:rFonts w:ascii="Times New Roman" w:cs="Times New Roman" w:eastAsia="Times New Roman" w:hAnsi="Times New Roman"/>
                <w:sz w:val="8"/>
                <w:szCs w:val="8"/>
                <w:b w:val="1"/>
                <w:bCs w:val="1"/>
                <w:color w:val="auto"/>
              </w:rPr>
              <w:t>Underwriters’</w:t>
            </w: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gridSpan w:val="3"/>
          </w:tcPr>
          <w:p>
            <w:pPr>
              <w:jc w:val="center"/>
              <w:ind w:left="116"/>
              <w:spacing w:after="0"/>
              <w:rPr>
                <w:sz w:val="20"/>
                <w:szCs w:val="20"/>
                <w:color w:val="auto"/>
              </w:rPr>
            </w:pPr>
            <w:r>
              <w:rPr>
                <w:rFonts w:ascii="Times New Roman" w:cs="Times New Roman" w:eastAsia="Times New Roman" w:hAnsi="Times New Roman"/>
                <w:sz w:val="8"/>
                <w:szCs w:val="8"/>
                <w:b w:val="1"/>
                <w:bCs w:val="1"/>
                <w:color w:val="auto"/>
              </w:rPr>
              <w:t>Underwriters’</w:t>
            </w: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gridSpan w:val="3"/>
          </w:tcPr>
          <w:p>
            <w:pPr>
              <w:jc w:val="center"/>
              <w:ind w:left="116"/>
              <w:spacing w:after="0"/>
              <w:rPr>
                <w:sz w:val="20"/>
                <w:szCs w:val="20"/>
                <w:color w:val="auto"/>
              </w:rPr>
            </w:pPr>
            <w:r>
              <w:rPr>
                <w:rFonts w:ascii="Times New Roman" w:cs="Times New Roman" w:eastAsia="Times New Roman" w:hAnsi="Times New Roman"/>
                <w:sz w:val="8"/>
                <w:szCs w:val="8"/>
                <w:b w:val="1"/>
                <w:bCs w:val="1"/>
                <w:color w:val="auto"/>
              </w:rPr>
              <w:t>Underwriters’</w:t>
            </w: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gridSpan w:val="2"/>
          </w:tcPr>
          <w:p>
            <w:pPr>
              <w:jc w:val="center"/>
              <w:ind w:right="40"/>
              <w:spacing w:after="0"/>
              <w:rPr>
                <w:sz w:val="20"/>
                <w:szCs w:val="20"/>
                <w:color w:val="auto"/>
              </w:rPr>
            </w:pPr>
            <w:r>
              <w:rPr>
                <w:rFonts w:ascii="Times New Roman" w:cs="Times New Roman" w:eastAsia="Times New Roman" w:hAnsi="Times New Roman"/>
                <w:sz w:val="8"/>
                <w:szCs w:val="8"/>
                <w:b w:val="1"/>
                <w:bCs w:val="1"/>
                <w:color w:val="auto"/>
              </w:rPr>
              <w:t>Assuming</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Underwriters’</w:t>
            </w: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8"/>
                <w:szCs w:val="8"/>
                <w:b w:val="1"/>
                <w:bCs w:val="1"/>
                <w:color w:val="auto"/>
              </w:rPr>
              <w:t>Underwriters’ Underwriters’</w:t>
            </w:r>
          </w:p>
        </w:tc>
        <w:tc>
          <w:tcPr>
            <w:tcW w:w="0" w:type="dxa"/>
            <w:vAlign w:val="bottom"/>
          </w:tcPr>
          <w:p>
            <w:pPr>
              <w:spacing w:after="0"/>
              <w:rPr>
                <w:sz w:val="1"/>
                <w:szCs w:val="1"/>
                <w:color w:val="auto"/>
              </w:rPr>
            </w:pPr>
          </w:p>
        </w:tc>
      </w:tr>
      <w:tr>
        <w:trPr>
          <w:trHeight w:val="94"/>
        </w:trPr>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gridSpan w:val="3"/>
          </w:tcPr>
          <w:p>
            <w:pPr>
              <w:jc w:val="center"/>
              <w:ind w:left="115"/>
              <w:spacing w:after="0"/>
              <w:rPr>
                <w:sz w:val="20"/>
                <w:szCs w:val="20"/>
                <w:color w:val="auto"/>
              </w:rPr>
            </w:pPr>
            <w:r>
              <w:rPr>
                <w:rFonts w:ascii="Times New Roman" w:cs="Times New Roman" w:eastAsia="Times New Roman" w:hAnsi="Times New Roman"/>
                <w:sz w:val="8"/>
                <w:szCs w:val="8"/>
                <w:b w:val="1"/>
                <w:bCs w:val="1"/>
                <w:color w:val="auto"/>
              </w:rPr>
              <w:t>Prior to the</w:t>
            </w: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gridSpan w:val="3"/>
          </w:tcPr>
          <w:p>
            <w:pPr>
              <w:jc w:val="center"/>
              <w:ind w:left="136"/>
              <w:spacing w:after="0"/>
              <w:rPr>
                <w:sz w:val="20"/>
                <w:szCs w:val="20"/>
                <w:color w:val="auto"/>
              </w:rPr>
            </w:pPr>
            <w:r>
              <w:rPr>
                <w:rFonts w:ascii="Times New Roman" w:cs="Times New Roman" w:eastAsia="Times New Roman" w:hAnsi="Times New Roman"/>
                <w:sz w:val="8"/>
                <w:szCs w:val="8"/>
                <w:b w:val="1"/>
                <w:bCs w:val="1"/>
                <w:color w:val="auto"/>
              </w:rPr>
              <w:t>Option</w:t>
            </w: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gridSpan w:val="3"/>
          </w:tcPr>
          <w:p>
            <w:pPr>
              <w:jc w:val="center"/>
              <w:ind w:left="116"/>
              <w:spacing w:after="0"/>
              <w:rPr>
                <w:sz w:val="20"/>
                <w:szCs w:val="20"/>
                <w:color w:val="auto"/>
              </w:rPr>
            </w:pPr>
            <w:r>
              <w:rPr>
                <w:rFonts w:ascii="Times New Roman" w:cs="Times New Roman" w:eastAsia="Times New Roman" w:hAnsi="Times New Roman"/>
                <w:sz w:val="8"/>
                <w:szCs w:val="8"/>
                <w:b w:val="1"/>
                <w:bCs w:val="1"/>
                <w:color w:val="auto"/>
              </w:rPr>
              <w:t>Option is</w:t>
            </w: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gridSpan w:val="3"/>
          </w:tcPr>
          <w:p>
            <w:pPr>
              <w:jc w:val="center"/>
              <w:ind w:left="115"/>
              <w:spacing w:after="0"/>
              <w:rPr>
                <w:sz w:val="20"/>
                <w:szCs w:val="20"/>
                <w:color w:val="auto"/>
              </w:rPr>
            </w:pPr>
            <w:r>
              <w:rPr>
                <w:rFonts w:ascii="Times New Roman" w:cs="Times New Roman" w:eastAsia="Times New Roman" w:hAnsi="Times New Roman"/>
                <w:sz w:val="8"/>
                <w:szCs w:val="8"/>
                <w:b w:val="1"/>
                <w:bCs w:val="1"/>
                <w:color w:val="auto"/>
              </w:rPr>
              <w:t>Prior to the</w:t>
            </w: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gridSpan w:val="3"/>
          </w:tcPr>
          <w:p>
            <w:pPr>
              <w:jc w:val="center"/>
              <w:ind w:left="116"/>
              <w:spacing w:after="0"/>
              <w:rPr>
                <w:sz w:val="20"/>
                <w:szCs w:val="20"/>
                <w:color w:val="auto"/>
              </w:rPr>
            </w:pPr>
            <w:r>
              <w:rPr>
                <w:rFonts w:ascii="Times New Roman" w:cs="Times New Roman" w:eastAsia="Times New Roman" w:hAnsi="Times New Roman"/>
                <w:sz w:val="8"/>
                <w:szCs w:val="8"/>
                <w:b w:val="1"/>
                <w:bCs w:val="1"/>
                <w:color w:val="auto"/>
              </w:rPr>
              <w:t>Option</w:t>
            </w: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gridSpan w:val="3"/>
          </w:tcPr>
          <w:p>
            <w:pPr>
              <w:jc w:val="center"/>
              <w:ind w:left="116"/>
              <w:spacing w:after="0"/>
              <w:rPr>
                <w:sz w:val="20"/>
                <w:szCs w:val="20"/>
                <w:color w:val="auto"/>
              </w:rPr>
            </w:pPr>
            <w:r>
              <w:rPr>
                <w:rFonts w:ascii="Times New Roman" w:cs="Times New Roman" w:eastAsia="Times New Roman" w:hAnsi="Times New Roman"/>
                <w:sz w:val="8"/>
                <w:szCs w:val="8"/>
                <w:b w:val="1"/>
                <w:bCs w:val="1"/>
                <w:color w:val="auto"/>
              </w:rPr>
              <w:t>Option is</w:t>
            </w: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gridSpan w:val="2"/>
          </w:tcPr>
          <w:p>
            <w:pPr>
              <w:jc w:val="center"/>
              <w:ind w:right="40"/>
              <w:spacing w:after="0"/>
              <w:rPr>
                <w:sz w:val="20"/>
                <w:szCs w:val="20"/>
                <w:color w:val="auto"/>
              </w:rPr>
            </w:pPr>
            <w:r>
              <w:rPr>
                <w:rFonts w:ascii="Times New Roman" w:cs="Times New Roman" w:eastAsia="Times New Roman" w:hAnsi="Times New Roman"/>
                <w:sz w:val="8"/>
                <w:szCs w:val="8"/>
                <w:b w:val="1"/>
                <w:bCs w:val="1"/>
                <w:color w:val="auto"/>
              </w:rPr>
              <w:t>Underwriters’</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Option is</w:t>
            </w:r>
          </w:p>
        </w:tc>
        <w:tc>
          <w:tcPr>
            <w:tcW w:w="20" w:type="dxa"/>
            <w:vAlign w:val="bottom"/>
          </w:tcPr>
          <w:p>
            <w:pPr>
              <w:spacing w:after="0"/>
              <w:rPr>
                <w:sz w:val="8"/>
                <w:szCs w:val="8"/>
                <w:color w:val="auto"/>
              </w:rPr>
            </w:pPr>
          </w:p>
        </w:tc>
        <w:tc>
          <w:tcPr>
            <w:tcW w:w="480" w:type="dxa"/>
            <w:vAlign w:val="bottom"/>
            <w:gridSpan w:val="2"/>
          </w:tcPr>
          <w:p>
            <w:pPr>
              <w:jc w:val="center"/>
              <w:spacing w:after="0"/>
              <w:rPr>
                <w:sz w:val="20"/>
                <w:szCs w:val="20"/>
                <w:color w:val="auto"/>
              </w:rPr>
            </w:pPr>
            <w:r>
              <w:rPr>
                <w:rFonts w:ascii="Times New Roman" w:cs="Times New Roman" w:eastAsia="Times New Roman" w:hAnsi="Times New Roman"/>
                <w:sz w:val="8"/>
                <w:szCs w:val="8"/>
                <w:b w:val="1"/>
                <w:bCs w:val="1"/>
                <w:color w:val="auto"/>
              </w:rPr>
              <w:t>Prior to the</w:t>
            </w:r>
          </w:p>
        </w:tc>
        <w:tc>
          <w:tcPr>
            <w:tcW w:w="540" w:type="dxa"/>
            <w:vAlign w:val="bottom"/>
            <w:gridSpan w:val="2"/>
          </w:tcPr>
          <w:p>
            <w:pPr>
              <w:jc w:val="right"/>
              <w:ind w:right="117"/>
              <w:spacing w:after="0"/>
              <w:rPr>
                <w:sz w:val="20"/>
                <w:szCs w:val="20"/>
                <w:color w:val="auto"/>
              </w:rPr>
            </w:pPr>
            <w:r>
              <w:rPr>
                <w:rFonts w:ascii="Times New Roman" w:cs="Times New Roman" w:eastAsia="Times New Roman" w:hAnsi="Times New Roman"/>
                <w:sz w:val="8"/>
                <w:szCs w:val="8"/>
                <w:b w:val="1"/>
                <w:bCs w:val="1"/>
                <w:color w:val="auto"/>
              </w:rPr>
              <w:t>Option</w:t>
            </w: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8"/>
                <w:szCs w:val="8"/>
                <w:b w:val="1"/>
                <w:bCs w:val="1"/>
                <w:color w:val="auto"/>
              </w:rPr>
              <w:t>Option is</w:t>
            </w:r>
          </w:p>
        </w:tc>
        <w:tc>
          <w:tcPr>
            <w:tcW w:w="0" w:type="dxa"/>
            <w:vAlign w:val="bottom"/>
          </w:tcPr>
          <w:p>
            <w:pPr>
              <w:spacing w:after="0"/>
              <w:rPr>
                <w:sz w:val="1"/>
                <w:szCs w:val="1"/>
                <w:color w:val="auto"/>
              </w:rPr>
            </w:pPr>
          </w:p>
        </w:tc>
      </w:tr>
      <w:tr>
        <w:trPr>
          <w:trHeight w:val="94"/>
        </w:trPr>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gridSpan w:val="3"/>
          </w:tcPr>
          <w:p>
            <w:pPr>
              <w:jc w:val="center"/>
              <w:ind w:left="95"/>
              <w:spacing w:after="0"/>
              <w:rPr>
                <w:sz w:val="20"/>
                <w:szCs w:val="20"/>
                <w:color w:val="auto"/>
              </w:rPr>
            </w:pPr>
            <w:r>
              <w:rPr>
                <w:rFonts w:ascii="Times New Roman" w:cs="Times New Roman" w:eastAsia="Times New Roman" w:hAnsi="Times New Roman"/>
                <w:sz w:val="8"/>
                <w:szCs w:val="8"/>
                <w:b w:val="1"/>
                <w:bCs w:val="1"/>
                <w:color w:val="auto"/>
              </w:rPr>
              <w:t>Offering</w:t>
            </w: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gridSpan w:val="3"/>
          </w:tcPr>
          <w:p>
            <w:pPr>
              <w:jc w:val="center"/>
              <w:ind w:left="116"/>
              <w:spacing w:after="0"/>
              <w:rPr>
                <w:sz w:val="20"/>
                <w:szCs w:val="20"/>
                <w:color w:val="auto"/>
              </w:rPr>
            </w:pPr>
            <w:r>
              <w:rPr>
                <w:rFonts w:ascii="Times New Roman" w:cs="Times New Roman" w:eastAsia="Times New Roman" w:hAnsi="Times New Roman"/>
                <w:sz w:val="8"/>
                <w:szCs w:val="8"/>
                <w:b w:val="1"/>
                <w:bCs w:val="1"/>
                <w:color w:val="auto"/>
              </w:rPr>
              <w:t>is Not</w:t>
            </w: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gridSpan w:val="3"/>
          </w:tcPr>
          <w:p>
            <w:pPr>
              <w:jc w:val="center"/>
              <w:ind w:left="96"/>
              <w:spacing w:after="0"/>
              <w:rPr>
                <w:sz w:val="20"/>
                <w:szCs w:val="20"/>
                <w:color w:val="auto"/>
              </w:rPr>
            </w:pPr>
            <w:r>
              <w:rPr>
                <w:rFonts w:ascii="Times New Roman" w:cs="Times New Roman" w:eastAsia="Times New Roman" w:hAnsi="Times New Roman"/>
                <w:sz w:val="8"/>
                <w:szCs w:val="8"/>
                <w:b w:val="1"/>
                <w:bCs w:val="1"/>
                <w:color w:val="auto"/>
              </w:rPr>
              <w:t>Exercised</w:t>
            </w: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gridSpan w:val="3"/>
          </w:tcPr>
          <w:p>
            <w:pPr>
              <w:jc w:val="center"/>
              <w:ind w:left="135"/>
              <w:spacing w:after="0"/>
              <w:rPr>
                <w:sz w:val="20"/>
                <w:szCs w:val="20"/>
                <w:color w:val="auto"/>
              </w:rPr>
            </w:pPr>
            <w:r>
              <w:rPr>
                <w:rFonts w:ascii="Times New Roman" w:cs="Times New Roman" w:eastAsia="Times New Roman" w:hAnsi="Times New Roman"/>
                <w:sz w:val="8"/>
                <w:szCs w:val="8"/>
                <w:b w:val="1"/>
                <w:bCs w:val="1"/>
                <w:color w:val="auto"/>
              </w:rPr>
              <w:t>Offering</w:t>
            </w: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gridSpan w:val="3"/>
          </w:tcPr>
          <w:p>
            <w:pPr>
              <w:jc w:val="center"/>
              <w:ind w:left="116"/>
              <w:spacing w:after="0"/>
              <w:rPr>
                <w:sz w:val="20"/>
                <w:szCs w:val="20"/>
                <w:color w:val="auto"/>
              </w:rPr>
            </w:pPr>
            <w:r>
              <w:rPr>
                <w:rFonts w:ascii="Times New Roman" w:cs="Times New Roman" w:eastAsia="Times New Roman" w:hAnsi="Times New Roman"/>
                <w:sz w:val="8"/>
                <w:szCs w:val="8"/>
                <w:b w:val="1"/>
                <w:bCs w:val="1"/>
                <w:color w:val="auto"/>
              </w:rPr>
              <w:t>is Not</w:t>
            </w: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gridSpan w:val="3"/>
          </w:tcPr>
          <w:p>
            <w:pPr>
              <w:jc w:val="center"/>
              <w:ind w:left="116"/>
              <w:spacing w:after="0"/>
              <w:rPr>
                <w:sz w:val="20"/>
                <w:szCs w:val="20"/>
                <w:color w:val="auto"/>
              </w:rPr>
            </w:pPr>
            <w:r>
              <w:rPr>
                <w:rFonts w:ascii="Times New Roman" w:cs="Times New Roman" w:eastAsia="Times New Roman" w:hAnsi="Times New Roman"/>
                <w:sz w:val="8"/>
                <w:szCs w:val="8"/>
                <w:b w:val="1"/>
                <w:bCs w:val="1"/>
                <w:color w:val="auto"/>
              </w:rPr>
              <w:t>Exercised in</w:t>
            </w: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gridSpan w:val="2"/>
          </w:tcPr>
          <w:p>
            <w:pPr>
              <w:jc w:val="center"/>
              <w:ind w:right="40"/>
              <w:spacing w:after="0"/>
              <w:rPr>
                <w:sz w:val="20"/>
                <w:szCs w:val="20"/>
                <w:color w:val="auto"/>
              </w:rPr>
            </w:pPr>
            <w:r>
              <w:rPr>
                <w:rFonts w:ascii="Times New Roman" w:cs="Times New Roman" w:eastAsia="Times New Roman" w:hAnsi="Times New Roman"/>
                <w:sz w:val="8"/>
                <w:szCs w:val="8"/>
                <w:b w:val="1"/>
                <w:bCs w:val="1"/>
                <w:color w:val="auto"/>
              </w:rPr>
              <w:t>Option is</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Exercised</w:t>
            </w:r>
          </w:p>
        </w:tc>
        <w:tc>
          <w:tcPr>
            <w:tcW w:w="20" w:type="dxa"/>
            <w:vAlign w:val="bottom"/>
          </w:tcPr>
          <w:p>
            <w:pPr>
              <w:spacing w:after="0"/>
              <w:rPr>
                <w:sz w:val="8"/>
                <w:szCs w:val="8"/>
                <w:color w:val="auto"/>
              </w:rPr>
            </w:pPr>
          </w:p>
        </w:tc>
        <w:tc>
          <w:tcPr>
            <w:tcW w:w="480" w:type="dxa"/>
            <w:vAlign w:val="bottom"/>
            <w:gridSpan w:val="2"/>
          </w:tcPr>
          <w:p>
            <w:pPr>
              <w:jc w:val="center"/>
              <w:spacing w:after="0"/>
              <w:rPr>
                <w:sz w:val="20"/>
                <w:szCs w:val="20"/>
                <w:color w:val="auto"/>
              </w:rPr>
            </w:pPr>
            <w:r>
              <w:rPr>
                <w:rFonts w:ascii="Times New Roman" w:cs="Times New Roman" w:eastAsia="Times New Roman" w:hAnsi="Times New Roman"/>
                <w:sz w:val="8"/>
                <w:szCs w:val="8"/>
                <w:b w:val="1"/>
                <w:bCs w:val="1"/>
                <w:color w:val="auto"/>
              </w:rPr>
              <w:t>Offering</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8"/>
                <w:szCs w:val="8"/>
                <w:b w:val="1"/>
                <w:bCs w:val="1"/>
                <w:color w:val="auto"/>
              </w:rPr>
              <w:t>is Not</w:t>
            </w: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8"/>
                <w:szCs w:val="8"/>
                <w:b w:val="1"/>
                <w:bCs w:val="1"/>
                <w:color w:val="auto"/>
              </w:rPr>
              <w:t>Exercised</w:t>
            </w:r>
          </w:p>
        </w:tc>
        <w:tc>
          <w:tcPr>
            <w:tcW w:w="0" w:type="dxa"/>
            <w:vAlign w:val="bottom"/>
          </w:tcPr>
          <w:p>
            <w:pPr>
              <w:spacing w:after="0"/>
              <w:rPr>
                <w:sz w:val="1"/>
                <w:szCs w:val="1"/>
                <w:color w:val="auto"/>
              </w:rPr>
            </w:pPr>
          </w:p>
        </w:tc>
      </w:tr>
      <w:tr>
        <w:trPr>
          <w:trHeight w:val="105"/>
        </w:trPr>
        <w:tc>
          <w:tcPr>
            <w:tcW w:w="700" w:type="dxa"/>
            <w:vAlign w:val="bottom"/>
            <w:gridSpan w:val="2"/>
            <w:vMerge w:val="restart"/>
          </w:tcPr>
          <w:p>
            <w:pPr>
              <w:spacing w:after="0"/>
              <w:rPr>
                <w:sz w:val="20"/>
                <w:szCs w:val="20"/>
                <w:color w:val="auto"/>
              </w:rPr>
            </w:pPr>
            <w:r>
              <w:rPr>
                <w:rFonts w:ascii="Times New Roman" w:cs="Times New Roman" w:eastAsia="Times New Roman" w:hAnsi="Times New Roman"/>
                <w:sz w:val="8"/>
                <w:szCs w:val="8"/>
                <w:b w:val="1"/>
                <w:bCs w:val="1"/>
                <w:color w:val="auto"/>
              </w:rPr>
              <w:t>Name of</w:t>
            </w:r>
          </w:p>
        </w:tc>
        <w:tc>
          <w:tcPr>
            <w:tcW w:w="800" w:type="dxa"/>
            <w:vAlign w:val="bottom"/>
            <w:gridSpan w:val="3"/>
          </w:tcPr>
          <w:p>
            <w:pPr>
              <w:jc w:val="center"/>
              <w:ind w:left="95"/>
              <w:spacing w:after="0"/>
              <w:rPr>
                <w:sz w:val="20"/>
                <w:szCs w:val="20"/>
                <w:color w:val="auto"/>
              </w:rPr>
            </w:pPr>
            <w:r>
              <w:rPr>
                <w:rFonts w:ascii="Times New Roman" w:cs="Times New Roman" w:eastAsia="Times New Roman" w:hAnsi="Times New Roman"/>
                <w:sz w:val="8"/>
                <w:szCs w:val="8"/>
                <w:b w:val="1"/>
                <w:bCs w:val="1"/>
                <w:color w:val="auto"/>
              </w:rPr>
              <w:t>Transactions</w:t>
            </w: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gridSpan w:val="3"/>
          </w:tcPr>
          <w:p>
            <w:pPr>
              <w:jc w:val="center"/>
              <w:ind w:left="136"/>
              <w:spacing w:after="0"/>
              <w:rPr>
                <w:sz w:val="20"/>
                <w:szCs w:val="20"/>
                <w:color w:val="auto"/>
              </w:rPr>
            </w:pPr>
            <w:r>
              <w:rPr>
                <w:rFonts w:ascii="Times New Roman" w:cs="Times New Roman" w:eastAsia="Times New Roman" w:hAnsi="Times New Roman"/>
                <w:sz w:val="8"/>
                <w:szCs w:val="8"/>
                <w:b w:val="1"/>
                <w:bCs w:val="1"/>
                <w:color w:val="auto"/>
              </w:rPr>
              <w:t>Exercised</w:t>
            </w: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gridSpan w:val="3"/>
          </w:tcPr>
          <w:p>
            <w:pPr>
              <w:jc w:val="center"/>
              <w:ind w:left="116"/>
              <w:spacing w:after="0"/>
              <w:rPr>
                <w:sz w:val="20"/>
                <w:szCs w:val="20"/>
                <w:color w:val="auto"/>
              </w:rPr>
            </w:pPr>
            <w:r>
              <w:rPr>
                <w:rFonts w:ascii="Times New Roman" w:cs="Times New Roman" w:eastAsia="Times New Roman" w:hAnsi="Times New Roman"/>
                <w:sz w:val="8"/>
                <w:szCs w:val="8"/>
                <w:b w:val="1"/>
                <w:bCs w:val="1"/>
                <w:color w:val="auto"/>
              </w:rPr>
              <w:t>in Full</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gridSpan w:val="3"/>
          </w:tcPr>
          <w:p>
            <w:pPr>
              <w:jc w:val="center"/>
              <w:ind w:left="135"/>
              <w:spacing w:after="0"/>
              <w:rPr>
                <w:sz w:val="20"/>
                <w:szCs w:val="20"/>
                <w:color w:val="auto"/>
              </w:rPr>
            </w:pPr>
            <w:r>
              <w:rPr>
                <w:rFonts w:ascii="Times New Roman" w:cs="Times New Roman" w:eastAsia="Times New Roman" w:hAnsi="Times New Roman"/>
                <w:sz w:val="8"/>
                <w:szCs w:val="8"/>
                <w:b w:val="1"/>
                <w:bCs w:val="1"/>
                <w:color w:val="auto"/>
              </w:rPr>
              <w:t>Transactions</w:t>
            </w: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gridSpan w:val="3"/>
          </w:tcPr>
          <w:p>
            <w:pPr>
              <w:jc w:val="center"/>
              <w:ind w:left="116"/>
              <w:spacing w:after="0"/>
              <w:rPr>
                <w:sz w:val="20"/>
                <w:szCs w:val="20"/>
                <w:color w:val="auto"/>
              </w:rPr>
            </w:pPr>
            <w:r>
              <w:rPr>
                <w:rFonts w:ascii="Times New Roman" w:cs="Times New Roman" w:eastAsia="Times New Roman" w:hAnsi="Times New Roman"/>
                <w:sz w:val="8"/>
                <w:szCs w:val="8"/>
                <w:b w:val="1"/>
                <w:bCs w:val="1"/>
                <w:color w:val="auto"/>
              </w:rPr>
              <w:t>Exercised</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gridSpan w:val="3"/>
          </w:tcPr>
          <w:p>
            <w:pPr>
              <w:jc w:val="center"/>
              <w:ind w:left="116"/>
              <w:spacing w:after="0"/>
              <w:rPr>
                <w:sz w:val="20"/>
                <w:szCs w:val="20"/>
                <w:color w:val="auto"/>
              </w:rPr>
            </w:pPr>
            <w:r>
              <w:rPr>
                <w:rFonts w:ascii="Times New Roman" w:cs="Times New Roman" w:eastAsia="Times New Roman" w:hAnsi="Times New Roman"/>
                <w:sz w:val="8"/>
                <w:szCs w:val="8"/>
                <w:b w:val="1"/>
                <w:bCs w:val="1"/>
                <w:color w:val="auto"/>
              </w:rPr>
              <w:t>Full</w:t>
            </w: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gridSpan w:val="2"/>
          </w:tcPr>
          <w:p>
            <w:pPr>
              <w:jc w:val="center"/>
              <w:ind w:right="40"/>
              <w:spacing w:after="0"/>
              <w:rPr>
                <w:sz w:val="20"/>
                <w:szCs w:val="20"/>
                <w:color w:val="auto"/>
              </w:rPr>
            </w:pPr>
            <w:r>
              <w:rPr>
                <w:rFonts w:ascii="Times New Roman" w:cs="Times New Roman" w:eastAsia="Times New Roman" w:hAnsi="Times New Roman"/>
                <w:sz w:val="8"/>
                <w:szCs w:val="8"/>
                <w:b w:val="1"/>
                <w:bCs w:val="1"/>
                <w:color w:val="auto"/>
              </w:rPr>
              <w:t>Not Exercised</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in Full</w:t>
            </w:r>
          </w:p>
        </w:tc>
        <w:tc>
          <w:tcPr>
            <w:tcW w:w="500" w:type="dxa"/>
            <w:vAlign w:val="bottom"/>
            <w:gridSpan w:val="3"/>
          </w:tcPr>
          <w:p>
            <w:pPr>
              <w:jc w:val="center"/>
              <w:spacing w:after="0"/>
              <w:rPr>
                <w:sz w:val="20"/>
                <w:szCs w:val="20"/>
                <w:color w:val="auto"/>
              </w:rPr>
            </w:pPr>
            <w:r>
              <w:rPr>
                <w:rFonts w:ascii="Times New Roman" w:cs="Times New Roman" w:eastAsia="Times New Roman" w:hAnsi="Times New Roman"/>
                <w:sz w:val="8"/>
                <w:szCs w:val="8"/>
                <w:b w:val="1"/>
                <w:bCs w:val="1"/>
                <w:color w:val="auto"/>
              </w:rPr>
              <w:t>Transactions</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8"/>
                <w:szCs w:val="8"/>
                <w:b w:val="1"/>
                <w:bCs w:val="1"/>
                <w:color w:val="auto"/>
              </w:rPr>
              <w:t>Exercised</w:t>
            </w: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8"/>
                <w:szCs w:val="8"/>
                <w:b w:val="1"/>
                <w:bCs w:val="1"/>
                <w:color w:val="auto"/>
              </w:rPr>
              <w:t>in Full</w:t>
            </w:r>
          </w:p>
        </w:tc>
        <w:tc>
          <w:tcPr>
            <w:tcW w:w="0" w:type="dxa"/>
            <w:vAlign w:val="bottom"/>
          </w:tcPr>
          <w:p>
            <w:pPr>
              <w:spacing w:after="0"/>
              <w:rPr>
                <w:sz w:val="1"/>
                <w:szCs w:val="1"/>
                <w:color w:val="auto"/>
              </w:rPr>
            </w:pPr>
          </w:p>
        </w:tc>
      </w:tr>
      <w:tr>
        <w:trPr>
          <w:trHeight w:val="62"/>
        </w:trPr>
        <w:tc>
          <w:tcPr>
            <w:tcW w:w="700" w:type="dxa"/>
            <w:vAlign w:val="bottom"/>
            <w:gridSpan w:val="2"/>
            <w:vMerge w:val="continue"/>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8"/>
                <w:szCs w:val="8"/>
                <w:b w:val="1"/>
                <w:bCs w:val="1"/>
                <w:color w:val="auto"/>
              </w:rPr>
              <w:t>Beneficial Owner</w:t>
            </w:r>
          </w:p>
        </w:tc>
        <w:tc>
          <w:tcPr>
            <w:tcW w:w="60" w:type="dxa"/>
            <w:vAlign w:val="bottom"/>
          </w:tcPr>
          <w:p>
            <w:pPr>
              <w:spacing w:after="0"/>
              <w:rPr>
                <w:sz w:val="10"/>
                <w:szCs w:val="10"/>
                <w:color w:val="auto"/>
              </w:rPr>
            </w:pPr>
          </w:p>
        </w:tc>
        <w:tc>
          <w:tcPr>
            <w:tcW w:w="520" w:type="dxa"/>
            <w:vAlign w:val="bottom"/>
          </w:tcPr>
          <w:p>
            <w:pPr>
              <w:jc w:val="right"/>
              <w:ind w:right="75"/>
              <w:spacing w:after="0"/>
              <w:rPr>
                <w:sz w:val="20"/>
                <w:szCs w:val="20"/>
                <w:color w:val="auto"/>
              </w:rPr>
            </w:pPr>
            <w:r>
              <w:rPr>
                <w:rFonts w:ascii="Times New Roman" w:cs="Times New Roman" w:eastAsia="Times New Roman" w:hAnsi="Times New Roman"/>
                <w:sz w:val="9"/>
                <w:szCs w:val="9"/>
                <w:b w:val="1"/>
                <w:bCs w:val="1"/>
                <w:color w:val="auto"/>
              </w:rPr>
              <w:t>Number</w:t>
            </w:r>
          </w:p>
        </w:tc>
        <w:tc>
          <w:tcPr>
            <w:tcW w:w="480" w:type="dxa"/>
            <w:vAlign w:val="bottom"/>
            <w:gridSpan w:val="4"/>
          </w:tcPr>
          <w:p>
            <w:pPr>
              <w:ind w:left="20"/>
              <w:spacing w:after="0"/>
              <w:rPr>
                <w:sz w:val="20"/>
                <w:szCs w:val="20"/>
                <w:color w:val="auto"/>
              </w:rPr>
            </w:pPr>
            <w:r>
              <w:rPr>
                <w:rFonts w:ascii="Times New Roman" w:cs="Times New Roman" w:eastAsia="Times New Roman" w:hAnsi="Times New Roman"/>
                <w:sz w:val="9"/>
                <w:szCs w:val="9"/>
                <w:b w:val="1"/>
                <w:bCs w:val="1"/>
                <w:color w:val="auto"/>
              </w:rPr>
              <w:t>Percentage</w:t>
            </w:r>
          </w:p>
        </w:tc>
        <w:tc>
          <w:tcPr>
            <w:tcW w:w="520" w:type="dxa"/>
            <w:vAlign w:val="bottom"/>
          </w:tcPr>
          <w:p>
            <w:pPr>
              <w:jc w:val="right"/>
              <w:ind w:right="56"/>
              <w:spacing w:after="0"/>
              <w:rPr>
                <w:sz w:val="20"/>
                <w:szCs w:val="20"/>
                <w:color w:val="auto"/>
              </w:rPr>
            </w:pPr>
            <w:r>
              <w:rPr>
                <w:rFonts w:ascii="Times New Roman" w:cs="Times New Roman" w:eastAsia="Times New Roman" w:hAnsi="Times New Roman"/>
                <w:sz w:val="9"/>
                <w:szCs w:val="9"/>
                <w:b w:val="1"/>
                <w:bCs w:val="1"/>
                <w:color w:val="auto"/>
              </w:rPr>
              <w:t>Number</w:t>
            </w:r>
          </w:p>
        </w:tc>
        <w:tc>
          <w:tcPr>
            <w:tcW w:w="500" w:type="dxa"/>
            <w:vAlign w:val="bottom"/>
            <w:gridSpan w:val="4"/>
          </w:tcPr>
          <w:p>
            <w:pPr>
              <w:ind w:left="20"/>
              <w:spacing w:after="0"/>
              <w:rPr>
                <w:sz w:val="20"/>
                <w:szCs w:val="20"/>
                <w:color w:val="auto"/>
              </w:rPr>
            </w:pPr>
            <w:r>
              <w:rPr>
                <w:rFonts w:ascii="Times New Roman" w:cs="Times New Roman" w:eastAsia="Times New Roman" w:hAnsi="Times New Roman"/>
                <w:sz w:val="9"/>
                <w:szCs w:val="9"/>
                <w:b w:val="1"/>
                <w:bCs w:val="1"/>
                <w:color w:val="auto"/>
              </w:rPr>
              <w:t>Percentage</w:t>
            </w:r>
          </w:p>
        </w:tc>
        <w:tc>
          <w:tcPr>
            <w:tcW w:w="520" w:type="dxa"/>
            <w:vAlign w:val="bottom"/>
          </w:tcPr>
          <w:p>
            <w:pPr>
              <w:jc w:val="right"/>
              <w:ind w:right="76"/>
              <w:spacing w:after="0"/>
              <w:rPr>
                <w:sz w:val="20"/>
                <w:szCs w:val="20"/>
                <w:color w:val="auto"/>
              </w:rPr>
            </w:pPr>
            <w:r>
              <w:rPr>
                <w:rFonts w:ascii="Times New Roman" w:cs="Times New Roman" w:eastAsia="Times New Roman" w:hAnsi="Times New Roman"/>
                <w:sz w:val="9"/>
                <w:szCs w:val="9"/>
                <w:b w:val="1"/>
                <w:bCs w:val="1"/>
                <w:color w:val="auto"/>
              </w:rPr>
              <w:t>Number</w:t>
            </w:r>
          </w:p>
        </w:tc>
        <w:tc>
          <w:tcPr>
            <w:tcW w:w="480" w:type="dxa"/>
            <w:vAlign w:val="bottom"/>
            <w:gridSpan w:val="4"/>
          </w:tcPr>
          <w:p>
            <w:pPr>
              <w:ind w:left="20"/>
              <w:spacing w:after="0"/>
              <w:rPr>
                <w:sz w:val="20"/>
                <w:szCs w:val="20"/>
                <w:color w:val="auto"/>
              </w:rPr>
            </w:pPr>
            <w:r>
              <w:rPr>
                <w:rFonts w:ascii="Times New Roman" w:cs="Times New Roman" w:eastAsia="Times New Roman" w:hAnsi="Times New Roman"/>
                <w:sz w:val="9"/>
                <w:szCs w:val="9"/>
                <w:b w:val="1"/>
                <w:bCs w:val="1"/>
                <w:color w:val="auto"/>
              </w:rPr>
              <w:t>Percentage</w:t>
            </w:r>
          </w:p>
        </w:tc>
        <w:tc>
          <w:tcPr>
            <w:tcW w:w="520" w:type="dxa"/>
            <w:vAlign w:val="bottom"/>
          </w:tcPr>
          <w:p>
            <w:pPr>
              <w:jc w:val="right"/>
              <w:ind w:right="55"/>
              <w:spacing w:after="0"/>
              <w:rPr>
                <w:sz w:val="20"/>
                <w:szCs w:val="20"/>
                <w:color w:val="auto"/>
              </w:rPr>
            </w:pPr>
            <w:r>
              <w:rPr>
                <w:rFonts w:ascii="Times New Roman" w:cs="Times New Roman" w:eastAsia="Times New Roman" w:hAnsi="Times New Roman"/>
                <w:sz w:val="9"/>
                <w:szCs w:val="9"/>
                <w:b w:val="1"/>
                <w:bCs w:val="1"/>
                <w:color w:val="auto"/>
              </w:rPr>
              <w:t>Number</w:t>
            </w:r>
          </w:p>
        </w:tc>
        <w:tc>
          <w:tcPr>
            <w:tcW w:w="480" w:type="dxa"/>
            <w:vAlign w:val="bottom"/>
            <w:gridSpan w:val="4"/>
          </w:tcPr>
          <w:p>
            <w:pPr>
              <w:ind w:left="20"/>
              <w:spacing w:after="0"/>
              <w:rPr>
                <w:sz w:val="20"/>
                <w:szCs w:val="20"/>
                <w:color w:val="auto"/>
              </w:rPr>
            </w:pPr>
            <w:r>
              <w:rPr>
                <w:rFonts w:ascii="Times New Roman" w:cs="Times New Roman" w:eastAsia="Times New Roman" w:hAnsi="Times New Roman"/>
                <w:sz w:val="9"/>
                <w:szCs w:val="9"/>
                <w:b w:val="1"/>
                <w:bCs w:val="1"/>
                <w:color w:val="auto"/>
              </w:rPr>
              <w:t>Percentage</w:t>
            </w:r>
          </w:p>
        </w:tc>
        <w:tc>
          <w:tcPr>
            <w:tcW w:w="520" w:type="dxa"/>
            <w:vAlign w:val="bottom"/>
          </w:tcPr>
          <w:p>
            <w:pPr>
              <w:jc w:val="right"/>
              <w:ind w:right="56"/>
              <w:spacing w:after="0"/>
              <w:rPr>
                <w:sz w:val="20"/>
                <w:szCs w:val="20"/>
                <w:color w:val="auto"/>
              </w:rPr>
            </w:pPr>
            <w:r>
              <w:rPr>
                <w:rFonts w:ascii="Times New Roman" w:cs="Times New Roman" w:eastAsia="Times New Roman" w:hAnsi="Times New Roman"/>
                <w:sz w:val="9"/>
                <w:szCs w:val="9"/>
                <w:b w:val="1"/>
                <w:bCs w:val="1"/>
                <w:color w:val="auto"/>
              </w:rPr>
              <w:t>Number</w:t>
            </w:r>
          </w:p>
        </w:tc>
        <w:tc>
          <w:tcPr>
            <w:tcW w:w="500" w:type="dxa"/>
            <w:vAlign w:val="bottom"/>
            <w:gridSpan w:val="4"/>
          </w:tcPr>
          <w:p>
            <w:pPr>
              <w:ind w:left="40"/>
              <w:spacing w:after="0"/>
              <w:rPr>
                <w:sz w:val="20"/>
                <w:szCs w:val="20"/>
                <w:color w:val="auto"/>
              </w:rPr>
            </w:pPr>
            <w:r>
              <w:rPr>
                <w:rFonts w:ascii="Times New Roman" w:cs="Times New Roman" w:eastAsia="Times New Roman" w:hAnsi="Times New Roman"/>
                <w:sz w:val="9"/>
                <w:szCs w:val="9"/>
                <w:b w:val="1"/>
                <w:bCs w:val="1"/>
                <w:color w:val="auto"/>
              </w:rPr>
              <w:t>Percentage</w:t>
            </w:r>
          </w:p>
        </w:tc>
        <w:tc>
          <w:tcPr>
            <w:tcW w:w="520" w:type="dxa"/>
            <w:vAlign w:val="bottom"/>
          </w:tcPr>
          <w:p>
            <w:pPr>
              <w:jc w:val="right"/>
              <w:ind w:right="56"/>
              <w:spacing w:after="0"/>
              <w:rPr>
                <w:sz w:val="20"/>
                <w:szCs w:val="20"/>
                <w:color w:val="auto"/>
              </w:rPr>
            </w:pPr>
            <w:r>
              <w:rPr>
                <w:rFonts w:ascii="Times New Roman" w:cs="Times New Roman" w:eastAsia="Times New Roman" w:hAnsi="Times New Roman"/>
                <w:sz w:val="9"/>
                <w:szCs w:val="9"/>
                <w:b w:val="1"/>
                <w:bCs w:val="1"/>
                <w:color w:val="auto"/>
              </w:rPr>
              <w:t>Number</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9"/>
                <w:szCs w:val="9"/>
                <w:b w:val="1"/>
                <w:bCs w:val="1"/>
                <w:color w:val="auto"/>
                <w:w w:val="98"/>
              </w:rPr>
              <w:t>Percentage</w:t>
            </w:r>
          </w:p>
        </w:tc>
        <w:tc>
          <w:tcPr>
            <w:tcW w:w="20" w:type="dxa"/>
            <w:vAlign w:val="bottom"/>
          </w:tcPr>
          <w:p>
            <w:pPr>
              <w:spacing w:after="0"/>
              <w:rPr>
                <w:sz w:val="10"/>
                <w:szCs w:val="10"/>
                <w:color w:val="auto"/>
              </w:rPr>
            </w:pPr>
          </w:p>
        </w:tc>
        <w:tc>
          <w:tcPr>
            <w:tcW w:w="560" w:type="dxa"/>
            <w:vAlign w:val="bottom"/>
            <w:gridSpan w:val="2"/>
          </w:tcPr>
          <w:p>
            <w:pPr>
              <w:jc w:val="center"/>
              <w:ind w:right="40"/>
              <w:spacing w:after="0"/>
              <w:rPr>
                <w:sz w:val="20"/>
                <w:szCs w:val="20"/>
                <w:color w:val="auto"/>
              </w:rPr>
            </w:pPr>
            <w:r>
              <w:rPr>
                <w:rFonts w:ascii="Times New Roman" w:cs="Times New Roman" w:eastAsia="Times New Roman" w:hAnsi="Times New Roman"/>
                <w:sz w:val="9"/>
                <w:szCs w:val="9"/>
                <w:b w:val="1"/>
                <w:bCs w:val="1"/>
                <w:color w:val="auto"/>
                <w:w w:val="99"/>
              </w:rPr>
              <w:t>Number</w:t>
            </w:r>
          </w:p>
        </w:tc>
        <w:tc>
          <w:tcPr>
            <w:tcW w:w="54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w w:val="99"/>
              </w:rPr>
              <w:t>Number</w:t>
            </w: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gridSpan w:val="2"/>
          </w:tcPr>
          <w:p>
            <w:pPr>
              <w:jc w:val="right"/>
              <w:ind w:right="17"/>
              <w:spacing w:after="0"/>
              <w:rPr>
                <w:sz w:val="20"/>
                <w:szCs w:val="20"/>
                <w:color w:val="auto"/>
              </w:rPr>
            </w:pPr>
            <w:r>
              <w:rPr>
                <w:rFonts w:ascii="Times New Roman" w:cs="Times New Roman" w:eastAsia="Times New Roman" w:hAnsi="Times New Roman"/>
                <w:sz w:val="9"/>
                <w:szCs w:val="9"/>
                <w:b w:val="1"/>
                <w:bCs w:val="1"/>
                <w:color w:val="auto"/>
              </w:rPr>
              <w:t>Percentage</w:t>
            </w: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700" w:type="dxa"/>
            <w:vAlign w:val="bottom"/>
            <w:tcBorders>
              <w:top w:val="single" w:sz="8" w:color="CCEEFF"/>
            </w:tcBorders>
            <w:gridSpan w:val="2"/>
            <w:shd w:val="clear" w:color="auto" w:fill="CCEEFF"/>
          </w:tcPr>
          <w:p>
            <w:pPr>
              <w:spacing w:after="0" w:line="85" w:lineRule="exact"/>
              <w:rPr>
                <w:sz w:val="20"/>
                <w:szCs w:val="20"/>
                <w:color w:val="auto"/>
              </w:rPr>
            </w:pPr>
            <w:r>
              <w:rPr>
                <w:rFonts w:ascii="Times New Roman" w:cs="Times New Roman" w:eastAsia="Times New Roman" w:hAnsi="Times New Roman"/>
                <w:sz w:val="7"/>
                <w:szCs w:val="7"/>
                <w:color w:val="auto"/>
              </w:rPr>
              <w:t>Blackstone</w:t>
            </w:r>
            <w:r>
              <w:rPr>
                <w:rFonts w:ascii="Times New Roman" w:cs="Times New Roman" w:eastAsia="Times New Roman" w:hAnsi="Times New Roman"/>
                <w:sz w:val="9"/>
                <w:szCs w:val="9"/>
                <w:color w:val="auto"/>
                <w:vertAlign w:val="superscript"/>
              </w:rPr>
              <w:t>(4)</w:t>
            </w:r>
          </w:p>
        </w:tc>
        <w:tc>
          <w:tcPr>
            <w:tcW w:w="520" w:type="dxa"/>
            <w:vAlign w:val="bottom"/>
            <w:tcBorders>
              <w:top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124,198,348</w:t>
            </w:r>
          </w:p>
        </w:tc>
        <w:tc>
          <w:tcPr>
            <w:tcW w:w="20" w:type="dxa"/>
            <w:vAlign w:val="bottom"/>
            <w:tcBorders>
              <w:top w:val="single" w:sz="8" w:color="CCEEFF"/>
            </w:tcBorders>
            <w:shd w:val="clear" w:color="auto" w:fill="CCEEFF"/>
          </w:tcPr>
          <w:p>
            <w:pPr>
              <w:spacing w:after="0"/>
              <w:rPr>
                <w:sz w:val="7"/>
                <w:szCs w:val="7"/>
                <w:color w:val="auto"/>
              </w:rPr>
            </w:pPr>
          </w:p>
        </w:tc>
        <w:tc>
          <w:tcPr>
            <w:tcW w:w="440" w:type="dxa"/>
            <w:vAlign w:val="bottom"/>
            <w:tcBorders>
              <w:top w:val="single" w:sz="8" w:color="auto"/>
            </w:tcBorders>
            <w:gridSpan w:val="2"/>
            <w:shd w:val="clear" w:color="auto" w:fill="CCEEFF"/>
          </w:tcPr>
          <w:p>
            <w:pPr>
              <w:jc w:val="right"/>
              <w:ind w:right="55"/>
              <w:spacing w:after="0" w:line="85" w:lineRule="exact"/>
              <w:rPr>
                <w:sz w:val="20"/>
                <w:szCs w:val="20"/>
                <w:color w:val="auto"/>
              </w:rPr>
            </w:pPr>
            <w:r>
              <w:rPr>
                <w:rFonts w:ascii="Times New Roman" w:cs="Times New Roman" w:eastAsia="Times New Roman" w:hAnsi="Times New Roman"/>
                <w:sz w:val="9"/>
                <w:szCs w:val="9"/>
                <w:color w:val="auto"/>
              </w:rPr>
              <w:t>14.7%</w:t>
            </w:r>
          </w:p>
        </w:tc>
        <w:tc>
          <w:tcPr>
            <w:tcW w:w="2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106,243,894</w:t>
            </w:r>
          </w:p>
        </w:tc>
        <w:tc>
          <w:tcPr>
            <w:tcW w:w="40" w:type="dxa"/>
            <w:vAlign w:val="bottom"/>
            <w:tcBorders>
              <w:top w:val="single" w:sz="8" w:color="CCEEFF"/>
            </w:tcBorders>
            <w:shd w:val="clear" w:color="auto" w:fill="CCEEFF"/>
          </w:tcPr>
          <w:p>
            <w:pPr>
              <w:spacing w:after="0"/>
              <w:rPr>
                <w:sz w:val="7"/>
                <w:szCs w:val="7"/>
                <w:color w:val="auto"/>
              </w:rPr>
            </w:pPr>
          </w:p>
        </w:tc>
        <w:tc>
          <w:tcPr>
            <w:tcW w:w="420" w:type="dxa"/>
            <w:vAlign w:val="bottom"/>
            <w:tcBorders>
              <w:top w:val="single" w:sz="8" w:color="auto"/>
            </w:tcBorders>
            <w:gridSpan w:val="2"/>
            <w:shd w:val="clear" w:color="auto" w:fill="CCEEFF"/>
          </w:tcPr>
          <w:p>
            <w:pPr>
              <w:jc w:val="right"/>
              <w:ind w:right="35"/>
              <w:spacing w:after="0" w:line="85" w:lineRule="exact"/>
              <w:rPr>
                <w:sz w:val="20"/>
                <w:szCs w:val="20"/>
                <w:color w:val="auto"/>
              </w:rPr>
            </w:pPr>
            <w:r>
              <w:rPr>
                <w:rFonts w:ascii="Times New Roman" w:cs="Times New Roman" w:eastAsia="Times New Roman" w:hAnsi="Times New Roman"/>
                <w:sz w:val="9"/>
                <w:szCs w:val="9"/>
                <w:color w:val="auto"/>
              </w:rPr>
              <w:t>12.2%</w:t>
            </w:r>
          </w:p>
        </w:tc>
        <w:tc>
          <w:tcPr>
            <w:tcW w:w="4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103,550,726</w:t>
            </w:r>
          </w:p>
        </w:tc>
        <w:tc>
          <w:tcPr>
            <w:tcW w:w="20" w:type="dxa"/>
            <w:vAlign w:val="bottom"/>
            <w:tcBorders>
              <w:top w:val="single" w:sz="8" w:color="CCEEFF"/>
            </w:tcBorders>
            <w:shd w:val="clear" w:color="auto" w:fill="CCEEFF"/>
          </w:tcPr>
          <w:p>
            <w:pPr>
              <w:spacing w:after="0"/>
              <w:rPr>
                <w:sz w:val="7"/>
                <w:szCs w:val="7"/>
                <w:color w:val="auto"/>
              </w:rPr>
            </w:pPr>
          </w:p>
        </w:tc>
        <w:tc>
          <w:tcPr>
            <w:tcW w:w="420" w:type="dxa"/>
            <w:vAlign w:val="bottom"/>
            <w:tcBorders>
              <w:top w:val="single" w:sz="8" w:color="auto"/>
            </w:tcBorders>
            <w:gridSpan w:val="2"/>
            <w:shd w:val="clear" w:color="auto" w:fill="CCEEFF"/>
          </w:tcPr>
          <w:p>
            <w:pPr>
              <w:jc w:val="right"/>
              <w:ind w:right="35"/>
              <w:spacing w:after="0" w:line="85" w:lineRule="exact"/>
              <w:rPr>
                <w:sz w:val="20"/>
                <w:szCs w:val="20"/>
                <w:color w:val="auto"/>
              </w:rPr>
            </w:pPr>
            <w:r>
              <w:rPr>
                <w:rFonts w:ascii="Times New Roman" w:cs="Times New Roman" w:eastAsia="Times New Roman" w:hAnsi="Times New Roman"/>
                <w:sz w:val="9"/>
                <w:szCs w:val="9"/>
                <w:color w:val="auto"/>
              </w:rPr>
              <w:t>11.9%</w:t>
            </w:r>
          </w:p>
        </w:tc>
        <w:tc>
          <w:tcPr>
            <w:tcW w:w="4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62,885,365</w:t>
            </w:r>
          </w:p>
        </w:tc>
        <w:tc>
          <w:tcPr>
            <w:tcW w:w="20" w:type="dxa"/>
            <w:vAlign w:val="bottom"/>
            <w:tcBorders>
              <w:top w:val="single" w:sz="8" w:color="CCEEFF"/>
            </w:tcBorders>
            <w:shd w:val="clear" w:color="auto" w:fill="CCEEFF"/>
          </w:tcPr>
          <w:p>
            <w:pPr>
              <w:spacing w:after="0"/>
              <w:rPr>
                <w:sz w:val="7"/>
                <w:szCs w:val="7"/>
                <w:color w:val="auto"/>
              </w:rPr>
            </w:pPr>
          </w:p>
        </w:tc>
        <w:tc>
          <w:tcPr>
            <w:tcW w:w="440" w:type="dxa"/>
            <w:vAlign w:val="bottom"/>
            <w:tcBorders>
              <w:top w:val="single" w:sz="8" w:color="auto"/>
            </w:tcBorders>
            <w:gridSpan w:val="2"/>
            <w:shd w:val="clear" w:color="auto" w:fill="CCEEFF"/>
          </w:tcPr>
          <w:p>
            <w:pPr>
              <w:jc w:val="right"/>
              <w:ind w:right="35"/>
              <w:spacing w:after="0" w:line="85" w:lineRule="exact"/>
              <w:rPr>
                <w:sz w:val="20"/>
                <w:szCs w:val="20"/>
                <w:color w:val="auto"/>
              </w:rPr>
            </w:pPr>
            <w:r>
              <w:rPr>
                <w:rFonts w:ascii="Times New Roman" w:cs="Times New Roman" w:eastAsia="Times New Roman" w:hAnsi="Times New Roman"/>
                <w:sz w:val="9"/>
                <w:szCs w:val="9"/>
                <w:color w:val="auto"/>
              </w:rPr>
              <w:t>13.4%</w:t>
            </w:r>
          </w:p>
        </w:tc>
        <w:tc>
          <w:tcPr>
            <w:tcW w:w="2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53,791,931</w:t>
            </w:r>
          </w:p>
        </w:tc>
        <w:tc>
          <w:tcPr>
            <w:tcW w:w="40" w:type="dxa"/>
            <w:vAlign w:val="bottom"/>
            <w:tcBorders>
              <w:top w:val="single" w:sz="8" w:color="CCEEFF"/>
            </w:tcBorders>
            <w:shd w:val="clear" w:color="auto" w:fill="CCEEFF"/>
          </w:tcPr>
          <w:p>
            <w:pPr>
              <w:spacing w:after="0"/>
              <w:rPr>
                <w:sz w:val="7"/>
                <w:szCs w:val="7"/>
                <w:color w:val="auto"/>
              </w:rPr>
            </w:pPr>
          </w:p>
        </w:tc>
        <w:tc>
          <w:tcPr>
            <w:tcW w:w="420" w:type="dxa"/>
            <w:vAlign w:val="bottom"/>
            <w:tcBorders>
              <w:top w:val="single" w:sz="8" w:color="auto"/>
            </w:tcBorders>
            <w:gridSpan w:val="2"/>
            <w:shd w:val="clear" w:color="auto" w:fill="CCEEFF"/>
          </w:tcPr>
          <w:p>
            <w:pPr>
              <w:jc w:val="right"/>
              <w:ind w:right="57"/>
              <w:spacing w:after="0" w:line="85" w:lineRule="exact"/>
              <w:rPr>
                <w:sz w:val="20"/>
                <w:szCs w:val="20"/>
                <w:color w:val="auto"/>
              </w:rPr>
            </w:pPr>
            <w:r>
              <w:rPr>
                <w:rFonts w:ascii="Times New Roman" w:cs="Times New Roman" w:eastAsia="Times New Roman" w:hAnsi="Times New Roman"/>
                <w:sz w:val="9"/>
                <w:szCs w:val="9"/>
                <w:color w:val="auto"/>
              </w:rPr>
              <w:t>12.1%</w:t>
            </w:r>
          </w:p>
        </w:tc>
        <w:tc>
          <w:tcPr>
            <w:tcW w:w="4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52,427,916</w:t>
            </w:r>
          </w:p>
        </w:tc>
        <w:tc>
          <w:tcPr>
            <w:tcW w:w="20" w:type="dxa"/>
            <w:vAlign w:val="bottom"/>
            <w:tcBorders>
              <w:top w:val="single" w:sz="8" w:color="CCEEFF"/>
            </w:tcBorders>
            <w:shd w:val="clear" w:color="auto" w:fill="CCEEFF"/>
          </w:tcPr>
          <w:p>
            <w:pPr>
              <w:spacing w:after="0"/>
              <w:rPr>
                <w:sz w:val="7"/>
                <w:szCs w:val="7"/>
                <w:color w:val="auto"/>
              </w:rPr>
            </w:pPr>
          </w:p>
        </w:tc>
        <w:tc>
          <w:tcPr>
            <w:tcW w:w="440" w:type="dxa"/>
            <w:vAlign w:val="bottom"/>
            <w:tcBorders>
              <w:top w:val="single" w:sz="8" w:color="auto"/>
            </w:tcBorders>
            <w:gridSpan w:val="2"/>
            <w:shd w:val="clear" w:color="auto" w:fill="CCEEFF"/>
          </w:tcPr>
          <w:p>
            <w:pPr>
              <w:jc w:val="right"/>
              <w:ind w:right="55"/>
              <w:spacing w:after="0" w:line="85" w:lineRule="exact"/>
              <w:rPr>
                <w:sz w:val="20"/>
                <w:szCs w:val="20"/>
                <w:color w:val="auto"/>
              </w:rPr>
            </w:pPr>
            <w:r>
              <w:rPr>
                <w:rFonts w:ascii="Times New Roman" w:cs="Times New Roman" w:eastAsia="Times New Roman" w:hAnsi="Times New Roman"/>
                <w:sz w:val="9"/>
                <w:szCs w:val="9"/>
                <w:color w:val="auto"/>
              </w:rPr>
              <w:t>11.9%</w:t>
            </w:r>
          </w:p>
        </w:tc>
        <w:tc>
          <w:tcPr>
            <w:tcW w:w="2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27,047,888</w:t>
            </w:r>
          </w:p>
        </w:tc>
        <w:tc>
          <w:tcPr>
            <w:tcW w:w="4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jc w:val="right"/>
              <w:ind w:right="16"/>
              <w:spacing w:after="0" w:line="85" w:lineRule="exact"/>
              <w:rPr>
                <w:sz w:val="20"/>
                <w:szCs w:val="20"/>
                <w:color w:val="auto"/>
              </w:rPr>
            </w:pPr>
            <w:r>
              <w:rPr>
                <w:rFonts w:ascii="Times New Roman" w:cs="Times New Roman" w:eastAsia="Times New Roman" w:hAnsi="Times New Roman"/>
                <w:sz w:val="9"/>
                <w:szCs w:val="9"/>
                <w:color w:val="auto"/>
              </w:rPr>
              <w:t>31,105,071</w:t>
            </w:r>
          </w:p>
        </w:tc>
        <w:tc>
          <w:tcPr>
            <w:tcW w:w="20" w:type="dxa"/>
            <w:vAlign w:val="bottom"/>
            <w:tcBorders>
              <w:top w:val="single" w:sz="8" w:color="CCEEFF"/>
            </w:tcBorders>
            <w:shd w:val="clear" w:color="auto" w:fill="CCEEFF"/>
          </w:tcPr>
          <w:p>
            <w:pPr>
              <w:spacing w:after="0"/>
              <w:rPr>
                <w:sz w:val="7"/>
                <w:szCs w:val="7"/>
                <w:color w:val="auto"/>
              </w:rPr>
            </w:pPr>
          </w:p>
        </w:tc>
        <w:tc>
          <w:tcPr>
            <w:tcW w:w="480" w:type="dxa"/>
            <w:vAlign w:val="bottom"/>
            <w:tcBorders>
              <w:top w:val="single" w:sz="8" w:color="auto"/>
            </w:tcBorders>
            <w:gridSpan w:val="2"/>
            <w:shd w:val="clear" w:color="auto" w:fill="CCEEFF"/>
          </w:tcPr>
          <w:p>
            <w:pPr>
              <w:jc w:val="right"/>
              <w:ind w:right="75"/>
              <w:spacing w:after="0" w:line="85" w:lineRule="exact"/>
              <w:rPr>
                <w:sz w:val="20"/>
                <w:szCs w:val="20"/>
                <w:color w:val="auto"/>
              </w:rPr>
            </w:pPr>
            <w:r>
              <w:rPr>
                <w:rFonts w:ascii="Times New Roman" w:cs="Times New Roman" w:eastAsia="Times New Roman" w:hAnsi="Times New Roman"/>
                <w:sz w:val="9"/>
                <w:szCs w:val="9"/>
                <w:color w:val="auto"/>
              </w:rPr>
              <w:t>14.2%</w:t>
            </w:r>
          </w:p>
        </w:tc>
        <w:tc>
          <w:tcPr>
            <w:tcW w:w="540" w:type="dxa"/>
            <w:vAlign w:val="bottom"/>
            <w:tcBorders>
              <w:top w:val="single" w:sz="8" w:color="auto"/>
            </w:tcBorders>
            <w:gridSpan w:val="2"/>
            <w:shd w:val="clear" w:color="auto" w:fill="CCEEFF"/>
          </w:tcPr>
          <w:p>
            <w:pPr>
              <w:jc w:val="right"/>
              <w:ind w:right="97"/>
              <w:spacing w:after="0" w:line="85" w:lineRule="exact"/>
              <w:rPr>
                <w:sz w:val="20"/>
                <w:szCs w:val="20"/>
                <w:color w:val="auto"/>
              </w:rPr>
            </w:pPr>
            <w:r>
              <w:rPr>
                <w:rFonts w:ascii="Times New Roman" w:cs="Times New Roman" w:eastAsia="Times New Roman" w:hAnsi="Times New Roman"/>
                <w:sz w:val="9"/>
                <w:szCs w:val="9"/>
                <w:color w:val="auto"/>
              </w:rPr>
              <w:t>12.2%</w:t>
            </w:r>
          </w:p>
        </w:tc>
        <w:tc>
          <w:tcPr>
            <w:tcW w:w="520" w:type="dxa"/>
            <w:vAlign w:val="bottom"/>
            <w:tcBorders>
              <w:top w:val="single" w:sz="8" w:color="auto"/>
            </w:tcBorders>
            <w:gridSpan w:val="2"/>
            <w:shd w:val="clear" w:color="auto" w:fill="CCEEFF"/>
          </w:tcPr>
          <w:p>
            <w:pPr>
              <w:jc w:val="right"/>
              <w:ind w:right="77"/>
              <w:spacing w:after="0" w:line="85" w:lineRule="exact"/>
              <w:rPr>
                <w:sz w:val="20"/>
                <w:szCs w:val="20"/>
                <w:color w:val="auto"/>
              </w:rPr>
            </w:pPr>
            <w:r>
              <w:rPr>
                <w:rFonts w:ascii="Times New Roman" w:cs="Times New Roman" w:eastAsia="Times New Roman" w:hAnsi="Times New Roman"/>
                <w:sz w:val="9"/>
                <w:szCs w:val="9"/>
                <w:color w:val="auto"/>
              </w:rPr>
              <w:t>11.9%</w:t>
            </w:r>
          </w:p>
        </w:tc>
        <w:tc>
          <w:tcPr>
            <w:tcW w:w="0" w:type="dxa"/>
            <w:vAlign w:val="bottom"/>
          </w:tcPr>
          <w:p>
            <w:pPr>
              <w:spacing w:after="0"/>
              <w:rPr>
                <w:sz w:val="1"/>
                <w:szCs w:val="1"/>
                <w:color w:val="auto"/>
              </w:rPr>
            </w:pPr>
          </w:p>
        </w:tc>
      </w:tr>
      <w:tr>
        <w:trPr>
          <w:trHeight w:val="104"/>
        </w:trPr>
        <w:tc>
          <w:tcPr>
            <w:tcW w:w="700" w:type="dxa"/>
            <w:vAlign w:val="bottom"/>
            <w:gridSpan w:val="2"/>
          </w:tcPr>
          <w:p>
            <w:pPr>
              <w:spacing w:after="0" w:line="104" w:lineRule="exact"/>
              <w:rPr>
                <w:sz w:val="20"/>
                <w:szCs w:val="20"/>
                <w:color w:val="auto"/>
              </w:rPr>
            </w:pPr>
            <w:r>
              <w:rPr>
                <w:rFonts w:ascii="Times New Roman" w:cs="Times New Roman" w:eastAsia="Times New Roman" w:hAnsi="Times New Roman"/>
                <w:sz w:val="8"/>
                <w:szCs w:val="8"/>
                <w:color w:val="auto"/>
              </w:rPr>
              <w:t>Carlyle</w:t>
            </w:r>
            <w:r>
              <w:rPr>
                <w:rFonts w:ascii="Times New Roman" w:cs="Times New Roman" w:eastAsia="Times New Roman" w:hAnsi="Times New Roman"/>
                <w:sz w:val="12"/>
                <w:szCs w:val="12"/>
                <w:color w:val="auto"/>
                <w:vertAlign w:val="superscript"/>
              </w:rPr>
              <w:t>(5)</w:t>
            </w: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125,454,241</w:t>
            </w:r>
          </w:p>
        </w:tc>
        <w:tc>
          <w:tcPr>
            <w:tcW w:w="460" w:type="dxa"/>
            <w:vAlign w:val="bottom"/>
            <w:gridSpan w:val="3"/>
          </w:tcPr>
          <w:p>
            <w:pPr>
              <w:jc w:val="right"/>
              <w:ind w:right="55"/>
              <w:spacing w:after="0"/>
              <w:rPr>
                <w:sz w:val="20"/>
                <w:szCs w:val="20"/>
                <w:color w:val="auto"/>
              </w:rPr>
            </w:pPr>
            <w:r>
              <w:rPr>
                <w:rFonts w:ascii="Times New Roman" w:cs="Times New Roman" w:eastAsia="Times New Roman" w:hAnsi="Times New Roman"/>
                <w:sz w:val="9"/>
                <w:szCs w:val="9"/>
                <w:color w:val="auto"/>
              </w:rPr>
              <w:t>14.8%</w:t>
            </w:r>
          </w:p>
        </w:tc>
        <w:tc>
          <w:tcPr>
            <w:tcW w:w="2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125,454,241</w:t>
            </w:r>
          </w:p>
        </w:tc>
        <w:tc>
          <w:tcPr>
            <w:tcW w:w="460" w:type="dxa"/>
            <w:vAlign w:val="bottom"/>
            <w:gridSpan w:val="3"/>
          </w:tcPr>
          <w:p>
            <w:pPr>
              <w:jc w:val="right"/>
              <w:ind w:right="35"/>
              <w:spacing w:after="0"/>
              <w:rPr>
                <w:sz w:val="20"/>
                <w:szCs w:val="20"/>
                <w:color w:val="auto"/>
              </w:rPr>
            </w:pPr>
            <w:r>
              <w:rPr>
                <w:rFonts w:ascii="Times New Roman" w:cs="Times New Roman" w:eastAsia="Times New Roman" w:hAnsi="Times New Roman"/>
                <w:sz w:val="9"/>
                <w:szCs w:val="9"/>
                <w:color w:val="auto"/>
              </w:rPr>
              <w:t>14.4%</w:t>
            </w:r>
          </w:p>
        </w:tc>
        <w:tc>
          <w:tcPr>
            <w:tcW w:w="4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125,454,241</w:t>
            </w:r>
          </w:p>
        </w:tc>
        <w:tc>
          <w:tcPr>
            <w:tcW w:w="440" w:type="dxa"/>
            <w:vAlign w:val="bottom"/>
            <w:gridSpan w:val="3"/>
          </w:tcPr>
          <w:p>
            <w:pPr>
              <w:jc w:val="right"/>
              <w:ind w:right="35"/>
              <w:spacing w:after="0"/>
              <w:rPr>
                <w:sz w:val="20"/>
                <w:szCs w:val="20"/>
                <w:color w:val="auto"/>
              </w:rPr>
            </w:pPr>
            <w:r>
              <w:rPr>
                <w:rFonts w:ascii="Times New Roman" w:cs="Times New Roman" w:eastAsia="Times New Roman" w:hAnsi="Times New Roman"/>
                <w:sz w:val="9"/>
                <w:szCs w:val="9"/>
                <w:color w:val="auto"/>
              </w:rPr>
              <w:t>14.4%</w:t>
            </w:r>
          </w:p>
        </w:tc>
        <w:tc>
          <w:tcPr>
            <w:tcW w:w="4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61,629,472</w:t>
            </w:r>
          </w:p>
        </w:tc>
        <w:tc>
          <w:tcPr>
            <w:tcW w:w="460" w:type="dxa"/>
            <w:vAlign w:val="bottom"/>
            <w:gridSpan w:val="3"/>
          </w:tcPr>
          <w:p>
            <w:pPr>
              <w:jc w:val="right"/>
              <w:ind w:right="35"/>
              <w:spacing w:after="0"/>
              <w:rPr>
                <w:sz w:val="20"/>
                <w:szCs w:val="20"/>
                <w:color w:val="auto"/>
              </w:rPr>
            </w:pPr>
            <w:r>
              <w:rPr>
                <w:rFonts w:ascii="Times New Roman" w:cs="Times New Roman" w:eastAsia="Times New Roman" w:hAnsi="Times New Roman"/>
                <w:sz w:val="9"/>
                <w:szCs w:val="9"/>
                <w:color w:val="auto"/>
              </w:rPr>
              <w:t>13.2%</w:t>
            </w:r>
          </w:p>
        </w:tc>
        <w:tc>
          <w:tcPr>
            <w:tcW w:w="2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61,629,472</w:t>
            </w:r>
          </w:p>
        </w:tc>
        <w:tc>
          <w:tcPr>
            <w:tcW w:w="460" w:type="dxa"/>
            <w:vAlign w:val="bottom"/>
            <w:gridSpan w:val="3"/>
          </w:tcPr>
          <w:p>
            <w:pPr>
              <w:jc w:val="right"/>
              <w:ind w:right="57"/>
              <w:spacing w:after="0"/>
              <w:rPr>
                <w:sz w:val="20"/>
                <w:szCs w:val="20"/>
                <w:color w:val="auto"/>
              </w:rPr>
            </w:pPr>
            <w:r>
              <w:rPr>
                <w:rFonts w:ascii="Times New Roman" w:cs="Times New Roman" w:eastAsia="Times New Roman" w:hAnsi="Times New Roman"/>
                <w:sz w:val="9"/>
                <w:szCs w:val="9"/>
                <w:color w:val="auto"/>
              </w:rPr>
              <w:t>13.9%</w:t>
            </w:r>
          </w:p>
        </w:tc>
        <w:tc>
          <w:tcPr>
            <w:tcW w:w="4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61,629,472</w:t>
            </w:r>
          </w:p>
        </w:tc>
        <w:tc>
          <w:tcPr>
            <w:tcW w:w="460" w:type="dxa"/>
            <w:vAlign w:val="bottom"/>
            <w:gridSpan w:val="3"/>
          </w:tcPr>
          <w:p>
            <w:pPr>
              <w:jc w:val="right"/>
              <w:ind w:right="55"/>
              <w:spacing w:after="0"/>
              <w:rPr>
                <w:sz w:val="20"/>
                <w:szCs w:val="20"/>
                <w:color w:val="auto"/>
              </w:rPr>
            </w:pPr>
            <w:r>
              <w:rPr>
                <w:rFonts w:ascii="Times New Roman" w:cs="Times New Roman" w:eastAsia="Times New Roman" w:hAnsi="Times New Roman"/>
                <w:sz w:val="9"/>
                <w:szCs w:val="9"/>
                <w:color w:val="auto"/>
              </w:rPr>
              <w:t>14.0%</w:t>
            </w:r>
          </w:p>
        </w:tc>
        <w:tc>
          <w:tcPr>
            <w:tcW w:w="20" w:type="dxa"/>
            <w:vAlign w:val="bottom"/>
          </w:tcPr>
          <w:p>
            <w:pPr>
              <w:spacing w:after="0"/>
              <w:rPr>
                <w:sz w:val="9"/>
                <w:szCs w:val="9"/>
                <w:color w:val="auto"/>
              </w:rPr>
            </w:pPr>
          </w:p>
        </w:tc>
        <w:tc>
          <w:tcPr>
            <w:tcW w:w="560" w:type="dxa"/>
            <w:vAlign w:val="bottom"/>
            <w:gridSpan w:val="2"/>
          </w:tcPr>
          <w:p>
            <w:pPr>
              <w:ind w:left="340"/>
              <w:spacing w:after="0"/>
              <w:rPr>
                <w:sz w:val="20"/>
                <w:szCs w:val="20"/>
                <w:color w:val="auto"/>
              </w:rPr>
            </w:pPr>
            <w:r>
              <w:rPr>
                <w:rFonts w:ascii="Times New Roman" w:cs="Times New Roman" w:eastAsia="Times New Roman" w:hAnsi="Times New Roman"/>
                <w:sz w:val="9"/>
                <w:szCs w:val="9"/>
                <w:color w:val="auto"/>
              </w:rPr>
              <w:t>— </w:t>
            </w:r>
          </w:p>
        </w:tc>
        <w:tc>
          <w:tcPr>
            <w:tcW w:w="5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— </w:t>
            </w:r>
          </w:p>
        </w:tc>
        <w:tc>
          <w:tcPr>
            <w:tcW w:w="500" w:type="dxa"/>
            <w:vAlign w:val="bottom"/>
            <w:gridSpan w:val="3"/>
          </w:tcPr>
          <w:p>
            <w:pPr>
              <w:jc w:val="right"/>
              <w:ind w:right="75"/>
              <w:spacing w:after="0"/>
              <w:rPr>
                <w:sz w:val="20"/>
                <w:szCs w:val="20"/>
                <w:color w:val="auto"/>
              </w:rPr>
            </w:pPr>
            <w:r>
              <w:rPr>
                <w:rFonts w:ascii="Times New Roman" w:cs="Times New Roman" w:eastAsia="Times New Roman" w:hAnsi="Times New Roman"/>
                <w:sz w:val="9"/>
                <w:szCs w:val="9"/>
                <w:color w:val="auto"/>
              </w:rPr>
              <w:t>14.2%</w:t>
            </w:r>
          </w:p>
        </w:tc>
        <w:tc>
          <w:tcPr>
            <w:tcW w:w="540" w:type="dxa"/>
            <w:vAlign w:val="bottom"/>
            <w:gridSpan w:val="2"/>
          </w:tcPr>
          <w:p>
            <w:pPr>
              <w:jc w:val="right"/>
              <w:ind w:right="97"/>
              <w:spacing w:after="0"/>
              <w:rPr>
                <w:sz w:val="20"/>
                <w:szCs w:val="20"/>
                <w:color w:val="auto"/>
              </w:rPr>
            </w:pPr>
            <w:r>
              <w:rPr>
                <w:rFonts w:ascii="Times New Roman" w:cs="Times New Roman" w:eastAsia="Times New Roman" w:hAnsi="Times New Roman"/>
                <w:sz w:val="9"/>
                <w:szCs w:val="9"/>
                <w:color w:val="auto"/>
              </w:rPr>
              <w:t>14.2%</w:t>
            </w:r>
          </w:p>
        </w:tc>
        <w:tc>
          <w:tcPr>
            <w:tcW w:w="520" w:type="dxa"/>
            <w:vAlign w:val="bottom"/>
            <w:gridSpan w:val="2"/>
          </w:tcPr>
          <w:p>
            <w:pPr>
              <w:jc w:val="right"/>
              <w:ind w:right="77"/>
              <w:spacing w:after="0"/>
              <w:rPr>
                <w:sz w:val="20"/>
                <w:szCs w:val="20"/>
                <w:color w:val="auto"/>
              </w:rPr>
            </w:pPr>
            <w:r>
              <w:rPr>
                <w:rFonts w:ascii="Times New Roman" w:cs="Times New Roman" w:eastAsia="Times New Roman" w:hAnsi="Times New Roman"/>
                <w:sz w:val="9"/>
                <w:szCs w:val="9"/>
                <w:color w:val="auto"/>
              </w:rPr>
              <w:t>14.2%</w:t>
            </w:r>
          </w:p>
        </w:tc>
        <w:tc>
          <w:tcPr>
            <w:tcW w:w="0" w:type="dxa"/>
            <w:vAlign w:val="bottom"/>
          </w:tcPr>
          <w:p>
            <w:pPr>
              <w:spacing w:after="0"/>
              <w:rPr>
                <w:sz w:val="1"/>
                <w:szCs w:val="1"/>
                <w:color w:val="auto"/>
              </w:rPr>
            </w:pPr>
          </w:p>
        </w:tc>
      </w:tr>
      <w:tr>
        <w:trPr>
          <w:trHeight w:val="104"/>
        </w:trPr>
        <w:tc>
          <w:tcPr>
            <w:tcW w:w="700" w:type="dxa"/>
            <w:vAlign w:val="bottom"/>
            <w:gridSpan w:val="2"/>
            <w:shd w:val="clear" w:color="auto" w:fill="CCEEFF"/>
          </w:tcPr>
          <w:p>
            <w:pPr>
              <w:spacing w:after="0" w:line="104" w:lineRule="exact"/>
              <w:rPr>
                <w:sz w:val="20"/>
                <w:szCs w:val="20"/>
                <w:color w:val="auto"/>
              </w:rPr>
            </w:pPr>
            <w:r>
              <w:rPr>
                <w:rFonts w:ascii="Times New Roman" w:cs="Times New Roman" w:eastAsia="Times New Roman" w:hAnsi="Times New Roman"/>
                <w:sz w:val="8"/>
                <w:szCs w:val="8"/>
                <w:color w:val="auto"/>
              </w:rPr>
              <w:t>H&amp;F</w:t>
            </w:r>
            <w:r>
              <w:rPr>
                <w:rFonts w:ascii="Times New Roman" w:cs="Times New Roman" w:eastAsia="Times New Roman" w:hAnsi="Times New Roman"/>
                <w:sz w:val="12"/>
                <w:szCs w:val="12"/>
                <w:color w:val="auto"/>
                <w:vertAlign w:val="superscript"/>
              </w:rPr>
              <w:t>(6)</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86,473,497</w:t>
            </w:r>
          </w:p>
        </w:tc>
        <w:tc>
          <w:tcPr>
            <w:tcW w:w="460" w:type="dxa"/>
            <w:vAlign w:val="bottom"/>
            <w:gridSpan w:val="3"/>
            <w:shd w:val="clear" w:color="auto" w:fill="CCEEFF"/>
          </w:tcPr>
          <w:p>
            <w:pPr>
              <w:jc w:val="right"/>
              <w:ind w:right="55"/>
              <w:spacing w:after="0"/>
              <w:rPr>
                <w:sz w:val="20"/>
                <w:szCs w:val="20"/>
                <w:color w:val="auto"/>
              </w:rPr>
            </w:pPr>
            <w:r>
              <w:rPr>
                <w:rFonts w:ascii="Times New Roman" w:cs="Times New Roman" w:eastAsia="Times New Roman" w:hAnsi="Times New Roman"/>
                <w:sz w:val="9"/>
                <w:szCs w:val="9"/>
                <w:color w:val="auto"/>
              </w:rPr>
              <w:t>10.2%</w:t>
            </w:r>
          </w:p>
        </w:tc>
        <w:tc>
          <w:tcPr>
            <w:tcW w:w="2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73,974,262</w:t>
            </w:r>
          </w:p>
        </w:tc>
        <w:tc>
          <w:tcPr>
            <w:tcW w:w="460" w:type="dxa"/>
            <w:vAlign w:val="bottom"/>
            <w:gridSpan w:val="3"/>
            <w:shd w:val="clear" w:color="auto" w:fill="CCEEFF"/>
          </w:tcPr>
          <w:p>
            <w:pPr>
              <w:jc w:val="right"/>
              <w:ind w:right="35"/>
              <w:spacing w:after="0"/>
              <w:rPr>
                <w:sz w:val="20"/>
                <w:szCs w:val="20"/>
                <w:color w:val="auto"/>
              </w:rPr>
            </w:pPr>
            <w:r>
              <w:rPr>
                <w:rFonts w:ascii="Times New Roman" w:cs="Times New Roman" w:eastAsia="Times New Roman" w:hAnsi="Times New Roman"/>
                <w:sz w:val="9"/>
                <w:szCs w:val="9"/>
                <w:color w:val="auto"/>
              </w:rPr>
              <w:t>8.5%</w:t>
            </w: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72,099,377</w:t>
            </w:r>
          </w:p>
        </w:tc>
        <w:tc>
          <w:tcPr>
            <w:tcW w:w="440" w:type="dxa"/>
            <w:vAlign w:val="bottom"/>
            <w:gridSpan w:val="3"/>
            <w:shd w:val="clear" w:color="auto" w:fill="CCEEFF"/>
          </w:tcPr>
          <w:p>
            <w:pPr>
              <w:jc w:val="right"/>
              <w:ind w:right="35"/>
              <w:spacing w:after="0"/>
              <w:rPr>
                <w:sz w:val="20"/>
                <w:szCs w:val="20"/>
                <w:color w:val="auto"/>
              </w:rPr>
            </w:pPr>
            <w:r>
              <w:rPr>
                <w:rFonts w:ascii="Times New Roman" w:cs="Times New Roman" w:eastAsia="Times New Roman" w:hAnsi="Times New Roman"/>
                <w:sz w:val="9"/>
                <w:szCs w:val="9"/>
                <w:color w:val="auto"/>
              </w:rPr>
              <w:t>8.3%</w:t>
            </w: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100,610,216</w:t>
            </w:r>
          </w:p>
        </w:tc>
        <w:tc>
          <w:tcPr>
            <w:tcW w:w="460" w:type="dxa"/>
            <w:vAlign w:val="bottom"/>
            <w:gridSpan w:val="3"/>
            <w:shd w:val="clear" w:color="auto" w:fill="CCEEFF"/>
          </w:tcPr>
          <w:p>
            <w:pPr>
              <w:jc w:val="right"/>
              <w:ind w:right="35"/>
              <w:spacing w:after="0"/>
              <w:rPr>
                <w:sz w:val="20"/>
                <w:szCs w:val="20"/>
                <w:color w:val="auto"/>
              </w:rPr>
            </w:pPr>
            <w:r>
              <w:rPr>
                <w:rFonts w:ascii="Times New Roman" w:cs="Times New Roman" w:eastAsia="Times New Roman" w:hAnsi="Times New Roman"/>
                <w:sz w:val="9"/>
                <w:szCs w:val="9"/>
                <w:color w:val="auto"/>
              </w:rPr>
              <w:t>21.5%</w:t>
            </w:r>
          </w:p>
        </w:tc>
        <w:tc>
          <w:tcPr>
            <w:tcW w:w="2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86,061,563</w:t>
            </w:r>
          </w:p>
        </w:tc>
        <w:tc>
          <w:tcPr>
            <w:tcW w:w="460" w:type="dxa"/>
            <w:vAlign w:val="bottom"/>
            <w:gridSpan w:val="3"/>
            <w:shd w:val="clear" w:color="auto" w:fill="CCEEFF"/>
          </w:tcPr>
          <w:p>
            <w:pPr>
              <w:jc w:val="right"/>
              <w:ind w:right="57"/>
              <w:spacing w:after="0"/>
              <w:rPr>
                <w:sz w:val="20"/>
                <w:szCs w:val="20"/>
                <w:color w:val="auto"/>
              </w:rPr>
            </w:pPr>
            <w:r>
              <w:rPr>
                <w:rFonts w:ascii="Times New Roman" w:cs="Times New Roman" w:eastAsia="Times New Roman" w:hAnsi="Times New Roman"/>
                <w:sz w:val="9"/>
                <w:szCs w:val="9"/>
                <w:color w:val="auto"/>
              </w:rPr>
              <w:t>19.4%</w:t>
            </w: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83,879,265</w:t>
            </w:r>
          </w:p>
        </w:tc>
        <w:tc>
          <w:tcPr>
            <w:tcW w:w="460" w:type="dxa"/>
            <w:vAlign w:val="bottom"/>
            <w:gridSpan w:val="3"/>
            <w:shd w:val="clear" w:color="auto" w:fill="CCEEFF"/>
          </w:tcPr>
          <w:p>
            <w:pPr>
              <w:jc w:val="right"/>
              <w:ind w:right="55"/>
              <w:spacing w:after="0"/>
              <w:rPr>
                <w:sz w:val="20"/>
                <w:szCs w:val="20"/>
                <w:color w:val="auto"/>
              </w:rPr>
            </w:pPr>
            <w:r>
              <w:rPr>
                <w:rFonts w:ascii="Times New Roman" w:cs="Times New Roman" w:eastAsia="Times New Roman" w:hAnsi="Times New Roman"/>
                <w:sz w:val="9"/>
                <w:szCs w:val="9"/>
                <w:color w:val="auto"/>
              </w:rPr>
              <w:t>19.0%</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27,047,888</w:t>
            </w: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9"/>
                <w:szCs w:val="9"/>
                <w:color w:val="auto"/>
              </w:rPr>
              <w:t>31,105,071</w:t>
            </w:r>
          </w:p>
        </w:tc>
        <w:tc>
          <w:tcPr>
            <w:tcW w:w="500" w:type="dxa"/>
            <w:vAlign w:val="bottom"/>
            <w:gridSpan w:val="3"/>
            <w:shd w:val="clear" w:color="auto" w:fill="CCEEFF"/>
          </w:tcPr>
          <w:p>
            <w:pPr>
              <w:jc w:val="right"/>
              <w:ind w:right="75"/>
              <w:spacing w:after="0"/>
              <w:rPr>
                <w:sz w:val="20"/>
                <w:szCs w:val="20"/>
                <w:color w:val="auto"/>
              </w:rPr>
            </w:pPr>
            <w:r>
              <w:rPr>
                <w:rFonts w:ascii="Times New Roman" w:cs="Times New Roman" w:eastAsia="Times New Roman" w:hAnsi="Times New Roman"/>
                <w:sz w:val="9"/>
                <w:szCs w:val="9"/>
                <w:color w:val="auto"/>
              </w:rPr>
              <w:t>14.2%</w:t>
            </w:r>
          </w:p>
        </w:tc>
        <w:tc>
          <w:tcPr>
            <w:tcW w:w="54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9"/>
                <w:szCs w:val="9"/>
                <w:color w:val="auto"/>
              </w:rPr>
              <w:t>12.2%</w:t>
            </w:r>
          </w:p>
        </w:tc>
        <w:tc>
          <w:tcPr>
            <w:tcW w:w="52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9"/>
                <w:szCs w:val="9"/>
                <w:color w:val="auto"/>
              </w:rPr>
              <w:t>11.9%</w:t>
            </w:r>
          </w:p>
        </w:tc>
        <w:tc>
          <w:tcPr>
            <w:tcW w:w="0" w:type="dxa"/>
            <w:vAlign w:val="bottom"/>
          </w:tcPr>
          <w:p>
            <w:pPr>
              <w:spacing w:after="0"/>
              <w:rPr>
                <w:sz w:val="1"/>
                <w:szCs w:val="1"/>
                <w:color w:val="auto"/>
              </w:rPr>
            </w:pPr>
          </w:p>
        </w:tc>
      </w:tr>
      <w:tr>
        <w:trPr>
          <w:trHeight w:val="97"/>
        </w:trPr>
        <w:tc>
          <w:tcPr>
            <w:tcW w:w="700" w:type="dxa"/>
            <w:vAlign w:val="bottom"/>
            <w:gridSpan w:val="2"/>
          </w:tcPr>
          <w:p>
            <w:pPr>
              <w:spacing w:after="0" w:line="97" w:lineRule="exact"/>
              <w:rPr>
                <w:sz w:val="20"/>
                <w:szCs w:val="20"/>
                <w:color w:val="auto"/>
              </w:rPr>
            </w:pPr>
            <w:r>
              <w:rPr>
                <w:rFonts w:ascii="Times New Roman" w:cs="Times New Roman" w:eastAsia="Times New Roman" w:hAnsi="Times New Roman"/>
                <w:sz w:val="9"/>
                <w:szCs w:val="9"/>
                <w:color w:val="auto"/>
              </w:rPr>
              <w:t>Mozart HoldCo,</w:t>
            </w: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700" w:type="dxa"/>
            <w:vAlign w:val="bottom"/>
            <w:gridSpan w:val="2"/>
          </w:tcPr>
          <w:p>
            <w:pPr>
              <w:ind w:left="100"/>
              <w:spacing w:after="0" w:line="111" w:lineRule="exact"/>
              <w:rPr>
                <w:sz w:val="20"/>
                <w:szCs w:val="20"/>
                <w:color w:val="auto"/>
              </w:rPr>
            </w:pPr>
            <w:r>
              <w:rPr>
                <w:rFonts w:ascii="Times New Roman" w:cs="Times New Roman" w:eastAsia="Times New Roman" w:hAnsi="Times New Roman"/>
                <w:sz w:val="8"/>
                <w:szCs w:val="8"/>
                <w:color w:val="auto"/>
              </w:rPr>
              <w:t>Inc.</w:t>
            </w:r>
            <w:r>
              <w:rPr>
                <w:rFonts w:ascii="Times New Roman" w:cs="Times New Roman" w:eastAsia="Times New Roman" w:hAnsi="Times New Roman"/>
                <w:sz w:val="12"/>
                <w:szCs w:val="12"/>
                <w:color w:val="auto"/>
                <w:vertAlign w:val="superscript"/>
              </w:rPr>
              <w:t>(7)</w:t>
            </w: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287,648</w:t>
            </w:r>
          </w:p>
        </w:tc>
        <w:tc>
          <w:tcPr>
            <w:tcW w:w="20" w:type="dxa"/>
            <w:vAlign w:val="bottom"/>
          </w:tcPr>
          <w:p>
            <w:pPr>
              <w:spacing w:after="0"/>
              <w:rPr>
                <w:sz w:val="9"/>
                <w:szCs w:val="9"/>
                <w:color w:val="auto"/>
              </w:rPr>
            </w:pPr>
          </w:p>
        </w:tc>
        <w:tc>
          <w:tcPr>
            <w:tcW w:w="260" w:type="dxa"/>
            <w:vAlign w:val="bottom"/>
          </w:tcPr>
          <w:p>
            <w:pPr>
              <w:jc w:val="center"/>
              <w:ind w:left="8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w w:val="87"/>
              </w:rPr>
              <w:t>*</w:t>
            </w:r>
          </w:p>
        </w:tc>
        <w:tc>
          <w:tcPr>
            <w:tcW w:w="2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287,648</w:t>
            </w:r>
          </w:p>
        </w:tc>
        <w:tc>
          <w:tcPr>
            <w:tcW w:w="40" w:type="dxa"/>
            <w:vAlign w:val="bottom"/>
          </w:tcPr>
          <w:p>
            <w:pPr>
              <w:spacing w:after="0"/>
              <w:rPr>
                <w:sz w:val="9"/>
                <w:szCs w:val="9"/>
                <w:color w:val="auto"/>
              </w:rPr>
            </w:pPr>
          </w:p>
        </w:tc>
        <w:tc>
          <w:tcPr>
            <w:tcW w:w="240" w:type="dxa"/>
            <w:vAlign w:val="bottom"/>
          </w:tcPr>
          <w:p>
            <w:pPr>
              <w:jc w:val="center"/>
              <w:ind w:left="79"/>
              <w:spacing w:after="0"/>
              <w:rPr>
                <w:sz w:val="20"/>
                <w:szCs w:val="20"/>
                <w:color w:val="auto"/>
              </w:rPr>
            </w:pPr>
            <w:r>
              <w:rPr>
                <w:rFonts w:ascii="Times New Roman" w:cs="Times New Roman" w:eastAsia="Times New Roman" w:hAnsi="Times New Roman"/>
                <w:sz w:val="5"/>
                <w:szCs w:val="5"/>
                <w:color w:val="auto"/>
                <w:w w:val="79"/>
              </w:rPr>
              <w:t> </w:t>
            </w:r>
          </w:p>
        </w:tc>
        <w:tc>
          <w:tcPr>
            <w:tcW w:w="1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w w:val="87"/>
              </w:rPr>
              <w:t>*</w:t>
            </w:r>
          </w:p>
        </w:tc>
        <w:tc>
          <w:tcPr>
            <w:tcW w:w="4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287,648</w:t>
            </w:r>
          </w:p>
        </w:tc>
        <w:tc>
          <w:tcPr>
            <w:tcW w:w="20" w:type="dxa"/>
            <w:vAlign w:val="bottom"/>
          </w:tcPr>
          <w:p>
            <w:pPr>
              <w:spacing w:after="0"/>
              <w:rPr>
                <w:sz w:val="9"/>
                <w:szCs w:val="9"/>
                <w:color w:val="auto"/>
              </w:rPr>
            </w:pPr>
          </w:p>
        </w:tc>
        <w:tc>
          <w:tcPr>
            <w:tcW w:w="260" w:type="dxa"/>
            <w:vAlign w:val="bottom"/>
          </w:tcPr>
          <w:p>
            <w:pPr>
              <w:jc w:val="center"/>
              <w:ind w:left="80"/>
              <w:spacing w:after="0"/>
              <w:rPr>
                <w:sz w:val="20"/>
                <w:szCs w:val="20"/>
                <w:color w:val="auto"/>
              </w:rPr>
            </w:pPr>
            <w:r>
              <w:rPr>
                <w:rFonts w:ascii="Times New Roman" w:cs="Times New Roman" w:eastAsia="Times New Roman" w:hAnsi="Times New Roman"/>
                <w:sz w:val="2"/>
                <w:szCs w:val="2"/>
                <w:color w:val="auto"/>
                <w:w w:val="97"/>
              </w:rPr>
              <w:t> </w:t>
            </w:r>
          </w:p>
        </w:tc>
        <w:tc>
          <w:tcPr>
            <w:tcW w:w="160" w:type="dxa"/>
            <w:vAlign w:val="bottom"/>
          </w:tcPr>
          <w:p>
            <w:pPr>
              <w:jc w:val="right"/>
              <w:ind w:right="55"/>
              <w:spacing w:after="0"/>
              <w:rPr>
                <w:sz w:val="20"/>
                <w:szCs w:val="20"/>
                <w:color w:val="auto"/>
              </w:rPr>
            </w:pPr>
            <w:r>
              <w:rPr>
                <w:rFonts w:ascii="Times New Roman" w:cs="Times New Roman" w:eastAsia="Times New Roman" w:hAnsi="Times New Roman"/>
                <w:sz w:val="9"/>
                <w:szCs w:val="9"/>
                <w:color w:val="auto"/>
                <w:w w:val="87"/>
              </w:rPr>
              <w:t>*</w:t>
            </w:r>
          </w:p>
        </w:tc>
        <w:tc>
          <w:tcPr>
            <w:tcW w:w="4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234,020,656</w:t>
            </w:r>
          </w:p>
        </w:tc>
        <w:tc>
          <w:tcPr>
            <w:tcW w:w="460" w:type="dxa"/>
            <w:vAlign w:val="bottom"/>
            <w:gridSpan w:val="3"/>
          </w:tcPr>
          <w:p>
            <w:pPr>
              <w:jc w:val="right"/>
              <w:ind w:right="35"/>
              <w:spacing w:after="0"/>
              <w:rPr>
                <w:sz w:val="20"/>
                <w:szCs w:val="20"/>
                <w:color w:val="auto"/>
              </w:rPr>
            </w:pPr>
            <w:r>
              <w:rPr>
                <w:rFonts w:ascii="Times New Roman" w:cs="Times New Roman" w:eastAsia="Times New Roman" w:hAnsi="Times New Roman"/>
                <w:sz w:val="9"/>
                <w:szCs w:val="9"/>
                <w:color w:val="auto"/>
              </w:rPr>
              <w:t>50.0%</w:t>
            </w:r>
          </w:p>
        </w:tc>
        <w:tc>
          <w:tcPr>
            <w:tcW w:w="2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234,020,656</w:t>
            </w:r>
          </w:p>
        </w:tc>
        <w:tc>
          <w:tcPr>
            <w:tcW w:w="460" w:type="dxa"/>
            <w:vAlign w:val="bottom"/>
            <w:gridSpan w:val="3"/>
          </w:tcPr>
          <w:p>
            <w:pPr>
              <w:jc w:val="right"/>
              <w:ind w:right="57"/>
              <w:spacing w:after="0"/>
              <w:rPr>
                <w:sz w:val="20"/>
                <w:szCs w:val="20"/>
                <w:color w:val="auto"/>
              </w:rPr>
            </w:pPr>
            <w:r>
              <w:rPr>
                <w:rFonts w:ascii="Times New Roman" w:cs="Times New Roman" w:eastAsia="Times New Roman" w:hAnsi="Times New Roman"/>
                <w:sz w:val="9"/>
                <w:szCs w:val="9"/>
                <w:color w:val="auto"/>
              </w:rPr>
              <w:t>52.7%</w:t>
            </w:r>
          </w:p>
        </w:tc>
        <w:tc>
          <w:tcPr>
            <w:tcW w:w="4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234,020,656</w:t>
            </w:r>
          </w:p>
        </w:tc>
        <w:tc>
          <w:tcPr>
            <w:tcW w:w="460" w:type="dxa"/>
            <w:vAlign w:val="bottom"/>
            <w:gridSpan w:val="3"/>
          </w:tcPr>
          <w:p>
            <w:pPr>
              <w:jc w:val="right"/>
              <w:ind w:right="55"/>
              <w:spacing w:after="0"/>
              <w:rPr>
                <w:sz w:val="20"/>
                <w:szCs w:val="20"/>
                <w:color w:val="auto"/>
              </w:rPr>
            </w:pPr>
            <w:r>
              <w:rPr>
                <w:rFonts w:ascii="Times New Roman" w:cs="Times New Roman" w:eastAsia="Times New Roman" w:hAnsi="Times New Roman"/>
                <w:sz w:val="9"/>
                <w:szCs w:val="9"/>
                <w:color w:val="auto"/>
              </w:rPr>
              <w:t>53.1%</w:t>
            </w:r>
          </w:p>
        </w:tc>
        <w:tc>
          <w:tcPr>
            <w:tcW w:w="20" w:type="dxa"/>
            <w:vAlign w:val="bottom"/>
          </w:tcPr>
          <w:p>
            <w:pPr>
              <w:spacing w:after="0"/>
              <w:rPr>
                <w:sz w:val="9"/>
                <w:szCs w:val="9"/>
                <w:color w:val="auto"/>
              </w:rPr>
            </w:pPr>
          </w:p>
        </w:tc>
        <w:tc>
          <w:tcPr>
            <w:tcW w:w="560" w:type="dxa"/>
            <w:vAlign w:val="bottom"/>
            <w:gridSpan w:val="2"/>
          </w:tcPr>
          <w:p>
            <w:pPr>
              <w:ind w:left="340"/>
              <w:spacing w:after="0"/>
              <w:rPr>
                <w:sz w:val="20"/>
                <w:szCs w:val="20"/>
                <w:color w:val="auto"/>
              </w:rPr>
            </w:pPr>
            <w:r>
              <w:rPr>
                <w:rFonts w:ascii="Times New Roman" w:cs="Times New Roman" w:eastAsia="Times New Roman" w:hAnsi="Times New Roman"/>
                <w:sz w:val="9"/>
                <w:szCs w:val="9"/>
                <w:color w:val="auto"/>
              </w:rPr>
              <w:t>— </w:t>
            </w:r>
          </w:p>
        </w:tc>
        <w:tc>
          <w:tcPr>
            <w:tcW w:w="5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— </w:t>
            </w:r>
          </w:p>
        </w:tc>
        <w:tc>
          <w:tcPr>
            <w:tcW w:w="500" w:type="dxa"/>
            <w:vAlign w:val="bottom"/>
            <w:gridSpan w:val="3"/>
          </w:tcPr>
          <w:p>
            <w:pPr>
              <w:jc w:val="right"/>
              <w:ind w:right="75"/>
              <w:spacing w:after="0"/>
              <w:rPr>
                <w:sz w:val="20"/>
                <w:szCs w:val="20"/>
                <w:color w:val="auto"/>
              </w:rPr>
            </w:pPr>
            <w:r>
              <w:rPr>
                <w:rFonts w:ascii="Times New Roman" w:cs="Times New Roman" w:eastAsia="Times New Roman" w:hAnsi="Times New Roman"/>
                <w:sz w:val="9"/>
                <w:szCs w:val="9"/>
                <w:color w:val="auto"/>
              </w:rPr>
              <w:t>17.8%</w:t>
            </w:r>
          </w:p>
        </w:tc>
        <w:tc>
          <w:tcPr>
            <w:tcW w:w="540" w:type="dxa"/>
            <w:vAlign w:val="bottom"/>
            <w:gridSpan w:val="2"/>
          </w:tcPr>
          <w:p>
            <w:pPr>
              <w:jc w:val="right"/>
              <w:ind w:right="97"/>
              <w:spacing w:after="0"/>
              <w:rPr>
                <w:sz w:val="20"/>
                <w:szCs w:val="20"/>
                <w:color w:val="auto"/>
              </w:rPr>
            </w:pPr>
            <w:r>
              <w:rPr>
                <w:rFonts w:ascii="Times New Roman" w:cs="Times New Roman" w:eastAsia="Times New Roman" w:hAnsi="Times New Roman"/>
                <w:sz w:val="9"/>
                <w:szCs w:val="9"/>
                <w:color w:val="auto"/>
              </w:rPr>
              <w:t>17.8%</w:t>
            </w:r>
          </w:p>
        </w:tc>
        <w:tc>
          <w:tcPr>
            <w:tcW w:w="520" w:type="dxa"/>
            <w:vAlign w:val="bottom"/>
            <w:gridSpan w:val="2"/>
          </w:tcPr>
          <w:p>
            <w:pPr>
              <w:jc w:val="right"/>
              <w:ind w:right="77"/>
              <w:spacing w:after="0"/>
              <w:rPr>
                <w:sz w:val="20"/>
                <w:szCs w:val="20"/>
                <w:color w:val="auto"/>
              </w:rPr>
            </w:pPr>
            <w:r>
              <w:rPr>
                <w:rFonts w:ascii="Times New Roman" w:cs="Times New Roman" w:eastAsia="Times New Roman" w:hAnsi="Times New Roman"/>
                <w:sz w:val="9"/>
                <w:szCs w:val="9"/>
                <w:color w:val="auto"/>
              </w:rPr>
              <w:t>17.8%</w:t>
            </w:r>
          </w:p>
        </w:tc>
        <w:tc>
          <w:tcPr>
            <w:tcW w:w="0" w:type="dxa"/>
            <w:vAlign w:val="bottom"/>
          </w:tcPr>
          <w:p>
            <w:pPr>
              <w:spacing w:after="0"/>
              <w:rPr>
                <w:sz w:val="1"/>
                <w:szCs w:val="1"/>
                <w:color w:val="auto"/>
              </w:rPr>
            </w:pPr>
          </w:p>
        </w:tc>
      </w:tr>
      <w:tr>
        <w:trPr>
          <w:trHeight w:val="97"/>
        </w:trPr>
        <w:tc>
          <w:tcPr>
            <w:tcW w:w="70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9"/>
                <w:szCs w:val="9"/>
                <w:color w:val="auto"/>
              </w:rPr>
              <w:t>GIC Private</w:t>
            </w: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700" w:type="dxa"/>
            <w:vAlign w:val="bottom"/>
            <w:gridSpan w:val="2"/>
            <w:shd w:val="clear" w:color="auto" w:fill="CCEEFF"/>
          </w:tcPr>
          <w:p>
            <w:pPr>
              <w:ind w:left="100"/>
              <w:spacing w:after="0" w:line="111" w:lineRule="exact"/>
              <w:rPr>
                <w:sz w:val="20"/>
                <w:szCs w:val="20"/>
                <w:color w:val="auto"/>
              </w:rPr>
            </w:pPr>
            <w:r>
              <w:rPr>
                <w:rFonts w:ascii="Times New Roman" w:cs="Times New Roman" w:eastAsia="Times New Roman" w:hAnsi="Times New Roman"/>
                <w:sz w:val="8"/>
                <w:szCs w:val="8"/>
                <w:color w:val="auto"/>
              </w:rPr>
              <w:t>Limited</w:t>
            </w:r>
            <w:r>
              <w:rPr>
                <w:rFonts w:ascii="Times New Roman" w:cs="Times New Roman" w:eastAsia="Times New Roman" w:hAnsi="Times New Roman"/>
                <w:sz w:val="12"/>
                <w:szCs w:val="12"/>
                <w:color w:val="auto"/>
                <w:vertAlign w:val="superscript"/>
              </w:rPr>
              <w:t>(8)</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118,796,825</w:t>
            </w:r>
          </w:p>
        </w:tc>
        <w:tc>
          <w:tcPr>
            <w:tcW w:w="460" w:type="dxa"/>
            <w:vAlign w:val="bottom"/>
            <w:gridSpan w:val="3"/>
            <w:shd w:val="clear" w:color="auto" w:fill="CCEEFF"/>
          </w:tcPr>
          <w:p>
            <w:pPr>
              <w:jc w:val="right"/>
              <w:ind w:right="55"/>
              <w:spacing w:after="0"/>
              <w:rPr>
                <w:sz w:val="20"/>
                <w:szCs w:val="20"/>
                <w:color w:val="auto"/>
              </w:rPr>
            </w:pPr>
            <w:r>
              <w:rPr>
                <w:rFonts w:ascii="Times New Roman" w:cs="Times New Roman" w:eastAsia="Times New Roman" w:hAnsi="Times New Roman"/>
                <w:sz w:val="9"/>
                <w:szCs w:val="9"/>
                <w:color w:val="auto"/>
              </w:rPr>
              <w:t>14.0%</w:t>
            </w:r>
          </w:p>
        </w:tc>
        <w:tc>
          <w:tcPr>
            <w:tcW w:w="2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118,796,825</w:t>
            </w:r>
          </w:p>
        </w:tc>
        <w:tc>
          <w:tcPr>
            <w:tcW w:w="460" w:type="dxa"/>
            <w:vAlign w:val="bottom"/>
            <w:gridSpan w:val="3"/>
            <w:shd w:val="clear" w:color="auto" w:fill="CCEEFF"/>
          </w:tcPr>
          <w:p>
            <w:pPr>
              <w:jc w:val="right"/>
              <w:ind w:right="35"/>
              <w:spacing w:after="0"/>
              <w:rPr>
                <w:sz w:val="20"/>
                <w:szCs w:val="20"/>
                <w:color w:val="auto"/>
              </w:rPr>
            </w:pPr>
            <w:r>
              <w:rPr>
                <w:rFonts w:ascii="Times New Roman" w:cs="Times New Roman" w:eastAsia="Times New Roman" w:hAnsi="Times New Roman"/>
                <w:sz w:val="9"/>
                <w:szCs w:val="9"/>
                <w:color w:val="auto"/>
              </w:rPr>
              <w:t>13.7%</w:t>
            </w: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118,796,825</w:t>
            </w:r>
          </w:p>
        </w:tc>
        <w:tc>
          <w:tcPr>
            <w:tcW w:w="440" w:type="dxa"/>
            <w:vAlign w:val="bottom"/>
            <w:gridSpan w:val="3"/>
            <w:shd w:val="clear" w:color="auto" w:fill="CCEEFF"/>
          </w:tcPr>
          <w:p>
            <w:pPr>
              <w:jc w:val="right"/>
              <w:ind w:right="35"/>
              <w:spacing w:after="0"/>
              <w:rPr>
                <w:sz w:val="20"/>
                <w:szCs w:val="20"/>
                <w:color w:val="auto"/>
              </w:rPr>
            </w:pPr>
            <w:r>
              <w:rPr>
                <w:rFonts w:ascii="Times New Roman" w:cs="Times New Roman" w:eastAsia="Times New Roman" w:hAnsi="Times New Roman"/>
                <w:sz w:val="9"/>
                <w:szCs w:val="9"/>
                <w:color w:val="auto"/>
              </w:rPr>
              <w:t>13.6%</w:t>
            </w: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9"/>
                <w:szCs w:val="9"/>
                <w:color w:val="auto"/>
              </w:rPr>
              <w:t>— </w:t>
            </w: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jc w:val="center"/>
              <w:ind w:left="107"/>
              <w:spacing w:after="0"/>
              <w:rPr>
                <w:sz w:val="20"/>
                <w:szCs w:val="20"/>
                <w:color w:val="auto"/>
              </w:rPr>
            </w:pPr>
            <w:r>
              <w:rPr>
                <w:rFonts w:ascii="Times New Roman" w:cs="Times New Roman" w:eastAsia="Times New Roman" w:hAnsi="Times New Roman"/>
                <w:sz w:val="9"/>
                <w:szCs w:val="9"/>
                <w:color w:val="auto"/>
                <w:w w:val="88"/>
              </w:rPr>
              <w:t>— </w:t>
            </w: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9"/>
                <w:szCs w:val="9"/>
                <w:color w:val="auto"/>
              </w:rPr>
              <w:t>— </w:t>
            </w:r>
          </w:p>
        </w:tc>
        <w:tc>
          <w:tcPr>
            <w:tcW w:w="40" w:type="dxa"/>
            <w:vAlign w:val="bottom"/>
            <w:shd w:val="clear" w:color="auto" w:fill="CCEEFF"/>
          </w:tcPr>
          <w:p>
            <w:pPr>
              <w:spacing w:after="0"/>
              <w:rPr>
                <w:sz w:val="9"/>
                <w:szCs w:val="9"/>
                <w:color w:val="auto"/>
              </w:rPr>
            </w:pPr>
          </w:p>
        </w:tc>
        <w:tc>
          <w:tcPr>
            <w:tcW w:w="260" w:type="dxa"/>
            <w:vAlign w:val="bottom"/>
            <w:shd w:val="clear" w:color="auto" w:fill="CCEEFF"/>
          </w:tcPr>
          <w:p>
            <w:pPr>
              <w:jc w:val="center"/>
              <w:ind w:left="67"/>
              <w:spacing w:after="0"/>
              <w:rPr>
                <w:sz w:val="20"/>
                <w:szCs w:val="20"/>
                <w:color w:val="auto"/>
              </w:rPr>
            </w:pPr>
            <w:r>
              <w:rPr>
                <w:rFonts w:ascii="Times New Roman" w:cs="Times New Roman" w:eastAsia="Times New Roman" w:hAnsi="Times New Roman"/>
                <w:sz w:val="9"/>
                <w:szCs w:val="9"/>
                <w:color w:val="auto"/>
                <w:w w:val="88"/>
              </w:rPr>
              <w:t>— </w:t>
            </w: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9"/>
                <w:szCs w:val="9"/>
                <w:color w:val="auto"/>
              </w:rPr>
              <w:t>— </w:t>
            </w: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jc w:val="center"/>
              <w:ind w:left="87"/>
              <w:spacing w:after="0"/>
              <w:rPr>
                <w:sz w:val="20"/>
                <w:szCs w:val="20"/>
                <w:color w:val="auto"/>
              </w:rPr>
            </w:pPr>
            <w:r>
              <w:rPr>
                <w:rFonts w:ascii="Times New Roman" w:cs="Times New Roman" w:eastAsia="Times New Roman" w:hAnsi="Times New Roman"/>
                <w:sz w:val="9"/>
                <w:szCs w:val="9"/>
                <w:color w:val="auto"/>
                <w:w w:val="73"/>
              </w:rPr>
              <w:t>— </w:t>
            </w: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9"/>
                <w:szCs w:val="9"/>
                <w:color w:val="auto"/>
              </w:rPr>
              <w:t>— </w:t>
            </w:r>
          </w:p>
        </w:tc>
        <w:tc>
          <w:tcPr>
            <w:tcW w:w="5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9"/>
                <w:szCs w:val="9"/>
                <w:color w:val="auto"/>
              </w:rPr>
              <w:t>— </w:t>
            </w:r>
          </w:p>
        </w:tc>
        <w:tc>
          <w:tcPr>
            <w:tcW w:w="500" w:type="dxa"/>
            <w:vAlign w:val="bottom"/>
            <w:gridSpan w:val="3"/>
            <w:shd w:val="clear" w:color="auto" w:fill="CCEEFF"/>
          </w:tcPr>
          <w:p>
            <w:pPr>
              <w:jc w:val="right"/>
              <w:ind w:right="75"/>
              <w:spacing w:after="0"/>
              <w:rPr>
                <w:sz w:val="20"/>
                <w:szCs w:val="20"/>
                <w:color w:val="auto"/>
              </w:rPr>
            </w:pPr>
            <w:r>
              <w:rPr>
                <w:rFonts w:ascii="Times New Roman" w:cs="Times New Roman" w:eastAsia="Times New Roman" w:hAnsi="Times New Roman"/>
                <w:sz w:val="9"/>
                <w:szCs w:val="9"/>
                <w:color w:val="auto"/>
              </w:rPr>
              <w:t>9.0%</w:t>
            </w:r>
          </w:p>
        </w:tc>
        <w:tc>
          <w:tcPr>
            <w:tcW w:w="54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9"/>
                <w:szCs w:val="9"/>
                <w:color w:val="auto"/>
              </w:rPr>
              <w:t>9.0%</w:t>
            </w:r>
          </w:p>
        </w:tc>
        <w:tc>
          <w:tcPr>
            <w:tcW w:w="52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9"/>
                <w:szCs w:val="9"/>
                <w:color w:val="auto"/>
              </w:rPr>
              <w:t>9.0%</w:t>
            </w:r>
          </w:p>
        </w:tc>
        <w:tc>
          <w:tcPr>
            <w:tcW w:w="0" w:type="dxa"/>
            <w:vAlign w:val="bottom"/>
          </w:tcPr>
          <w:p>
            <w:pPr>
              <w:spacing w:after="0"/>
              <w:rPr>
                <w:sz w:val="1"/>
                <w:szCs w:val="1"/>
                <w:color w:val="auto"/>
              </w:rPr>
            </w:pPr>
          </w:p>
        </w:tc>
      </w:tr>
      <w:tr>
        <w:trPr>
          <w:trHeight w:val="97"/>
        </w:trPr>
        <w:tc>
          <w:tcPr>
            <w:tcW w:w="700" w:type="dxa"/>
            <w:vAlign w:val="bottom"/>
            <w:gridSpan w:val="2"/>
          </w:tcPr>
          <w:p>
            <w:pPr>
              <w:spacing w:after="0" w:line="97" w:lineRule="exact"/>
              <w:rPr>
                <w:sz w:val="20"/>
                <w:szCs w:val="20"/>
                <w:color w:val="auto"/>
              </w:rPr>
            </w:pPr>
            <w:r>
              <w:rPr>
                <w:rFonts w:ascii="Times New Roman" w:cs="Times New Roman" w:eastAsia="Times New Roman" w:hAnsi="Times New Roman"/>
                <w:sz w:val="9"/>
                <w:szCs w:val="9"/>
                <w:color w:val="auto"/>
              </w:rPr>
              <w:t>Abu Dhabi</w:t>
            </w: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700" w:type="dxa"/>
            <w:vAlign w:val="bottom"/>
            <w:gridSpan w:val="2"/>
          </w:tcPr>
          <w:p>
            <w:pPr>
              <w:ind w:left="100"/>
              <w:spacing w:after="0"/>
              <w:rPr>
                <w:sz w:val="20"/>
                <w:szCs w:val="20"/>
                <w:color w:val="auto"/>
              </w:rPr>
            </w:pPr>
            <w:r>
              <w:rPr>
                <w:rFonts w:ascii="Times New Roman" w:cs="Times New Roman" w:eastAsia="Times New Roman" w:hAnsi="Times New Roman"/>
                <w:sz w:val="9"/>
                <w:szCs w:val="9"/>
                <w:color w:val="auto"/>
              </w:rPr>
              <w:t>Investment</w:t>
            </w: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700" w:type="dxa"/>
            <w:vAlign w:val="bottom"/>
            <w:gridSpan w:val="2"/>
          </w:tcPr>
          <w:p>
            <w:pPr>
              <w:ind w:left="100"/>
              <w:spacing w:after="0" w:line="111" w:lineRule="exact"/>
              <w:rPr>
                <w:sz w:val="20"/>
                <w:szCs w:val="20"/>
                <w:color w:val="auto"/>
              </w:rPr>
            </w:pPr>
            <w:r>
              <w:rPr>
                <w:rFonts w:ascii="Times New Roman" w:cs="Times New Roman" w:eastAsia="Times New Roman" w:hAnsi="Times New Roman"/>
                <w:sz w:val="8"/>
                <w:szCs w:val="8"/>
                <w:color w:val="auto"/>
              </w:rPr>
              <w:t>Authority</w:t>
            </w:r>
            <w:r>
              <w:rPr>
                <w:rFonts w:ascii="Times New Roman" w:cs="Times New Roman" w:eastAsia="Times New Roman" w:hAnsi="Times New Roman"/>
                <w:sz w:val="12"/>
                <w:szCs w:val="12"/>
                <w:color w:val="auto"/>
                <w:vertAlign w:val="superscript"/>
              </w:rPr>
              <w:t>(9)</w:t>
            </w: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41,355,340</w:t>
            </w:r>
          </w:p>
        </w:tc>
        <w:tc>
          <w:tcPr>
            <w:tcW w:w="460" w:type="dxa"/>
            <w:vAlign w:val="bottom"/>
            <w:gridSpan w:val="3"/>
          </w:tcPr>
          <w:p>
            <w:pPr>
              <w:jc w:val="right"/>
              <w:ind w:right="55"/>
              <w:spacing w:after="0"/>
              <w:rPr>
                <w:sz w:val="20"/>
                <w:szCs w:val="20"/>
                <w:color w:val="auto"/>
              </w:rPr>
            </w:pPr>
            <w:r>
              <w:rPr>
                <w:rFonts w:ascii="Times New Roman" w:cs="Times New Roman" w:eastAsia="Times New Roman" w:hAnsi="Times New Roman"/>
                <w:sz w:val="9"/>
                <w:szCs w:val="9"/>
                <w:color w:val="auto"/>
              </w:rPr>
              <w:t>4.9%</w:t>
            </w:r>
          </w:p>
        </w:tc>
        <w:tc>
          <w:tcPr>
            <w:tcW w:w="2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35,451,116</w:t>
            </w:r>
          </w:p>
        </w:tc>
        <w:tc>
          <w:tcPr>
            <w:tcW w:w="460" w:type="dxa"/>
            <w:vAlign w:val="bottom"/>
            <w:gridSpan w:val="3"/>
          </w:tcPr>
          <w:p>
            <w:pPr>
              <w:jc w:val="right"/>
              <w:ind w:right="35"/>
              <w:spacing w:after="0"/>
              <w:rPr>
                <w:sz w:val="20"/>
                <w:szCs w:val="20"/>
                <w:color w:val="auto"/>
              </w:rPr>
            </w:pPr>
            <w:r>
              <w:rPr>
                <w:rFonts w:ascii="Times New Roman" w:cs="Times New Roman" w:eastAsia="Times New Roman" w:hAnsi="Times New Roman"/>
                <w:sz w:val="9"/>
                <w:szCs w:val="9"/>
                <w:color w:val="auto"/>
              </w:rPr>
              <w:t>4.1%</w:t>
            </w:r>
          </w:p>
        </w:tc>
        <w:tc>
          <w:tcPr>
            <w:tcW w:w="4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34,565,482</w:t>
            </w:r>
          </w:p>
        </w:tc>
        <w:tc>
          <w:tcPr>
            <w:tcW w:w="440" w:type="dxa"/>
            <w:vAlign w:val="bottom"/>
            <w:gridSpan w:val="3"/>
          </w:tcPr>
          <w:p>
            <w:pPr>
              <w:jc w:val="right"/>
              <w:ind w:right="35"/>
              <w:spacing w:after="0"/>
              <w:rPr>
                <w:sz w:val="20"/>
                <w:szCs w:val="20"/>
                <w:color w:val="auto"/>
              </w:rPr>
            </w:pPr>
            <w:r>
              <w:rPr>
                <w:rFonts w:ascii="Times New Roman" w:cs="Times New Roman" w:eastAsia="Times New Roman" w:hAnsi="Times New Roman"/>
                <w:sz w:val="9"/>
                <w:szCs w:val="9"/>
                <w:color w:val="auto"/>
              </w:rPr>
              <w:t>4.0%</w:t>
            </w:r>
          </w:p>
        </w:tc>
        <w:tc>
          <w:tcPr>
            <w:tcW w:w="40" w:type="dxa"/>
            <w:vAlign w:val="bottom"/>
          </w:tcPr>
          <w:p>
            <w:pPr>
              <w:spacing w:after="0"/>
              <w:rPr>
                <w:sz w:val="9"/>
                <w:szCs w:val="9"/>
                <w:color w:val="auto"/>
              </w:rPr>
            </w:pPr>
          </w:p>
        </w:tc>
        <w:tc>
          <w:tcPr>
            <w:tcW w:w="520" w:type="dxa"/>
            <w:vAlign w:val="bottom"/>
          </w:tcPr>
          <w:p>
            <w:pPr>
              <w:jc w:val="right"/>
              <w:ind w:right="15"/>
              <w:spacing w:after="0"/>
              <w:rPr>
                <w:sz w:val="20"/>
                <w:szCs w:val="20"/>
                <w:color w:val="auto"/>
              </w:rPr>
            </w:pPr>
            <w:r>
              <w:rPr>
                <w:rFonts w:ascii="Times New Roman" w:cs="Times New Roman" w:eastAsia="Times New Roman" w:hAnsi="Times New Roman"/>
                <w:sz w:val="9"/>
                <w:szCs w:val="9"/>
                <w:color w:val="auto"/>
              </w:rPr>
              <w:t>— </w:t>
            </w:r>
          </w:p>
        </w:tc>
        <w:tc>
          <w:tcPr>
            <w:tcW w:w="20" w:type="dxa"/>
            <w:vAlign w:val="bottom"/>
          </w:tcPr>
          <w:p>
            <w:pPr>
              <w:spacing w:after="0"/>
              <w:rPr>
                <w:sz w:val="9"/>
                <w:szCs w:val="9"/>
                <w:color w:val="auto"/>
              </w:rPr>
            </w:pPr>
          </w:p>
        </w:tc>
        <w:tc>
          <w:tcPr>
            <w:tcW w:w="260" w:type="dxa"/>
            <w:vAlign w:val="bottom"/>
          </w:tcPr>
          <w:p>
            <w:pPr>
              <w:jc w:val="center"/>
              <w:ind w:left="107"/>
              <w:spacing w:after="0"/>
              <w:rPr>
                <w:sz w:val="20"/>
                <w:szCs w:val="20"/>
                <w:color w:val="auto"/>
              </w:rPr>
            </w:pPr>
            <w:r>
              <w:rPr>
                <w:rFonts w:ascii="Times New Roman" w:cs="Times New Roman" w:eastAsia="Times New Roman" w:hAnsi="Times New Roman"/>
                <w:sz w:val="9"/>
                <w:szCs w:val="9"/>
                <w:color w:val="auto"/>
                <w:w w:val="88"/>
              </w:rPr>
              <w:t>— </w:t>
            </w: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jc w:val="right"/>
              <w:ind w:right="16"/>
              <w:spacing w:after="0"/>
              <w:rPr>
                <w:sz w:val="20"/>
                <w:szCs w:val="20"/>
                <w:color w:val="auto"/>
              </w:rPr>
            </w:pPr>
            <w:r>
              <w:rPr>
                <w:rFonts w:ascii="Times New Roman" w:cs="Times New Roman" w:eastAsia="Times New Roman" w:hAnsi="Times New Roman"/>
                <w:sz w:val="9"/>
                <w:szCs w:val="9"/>
                <w:color w:val="auto"/>
              </w:rPr>
              <w:t>— </w:t>
            </w:r>
          </w:p>
        </w:tc>
        <w:tc>
          <w:tcPr>
            <w:tcW w:w="40" w:type="dxa"/>
            <w:vAlign w:val="bottom"/>
          </w:tcPr>
          <w:p>
            <w:pPr>
              <w:spacing w:after="0"/>
              <w:rPr>
                <w:sz w:val="9"/>
                <w:szCs w:val="9"/>
                <w:color w:val="auto"/>
              </w:rPr>
            </w:pPr>
          </w:p>
        </w:tc>
        <w:tc>
          <w:tcPr>
            <w:tcW w:w="260" w:type="dxa"/>
            <w:vAlign w:val="bottom"/>
          </w:tcPr>
          <w:p>
            <w:pPr>
              <w:jc w:val="center"/>
              <w:ind w:left="67"/>
              <w:spacing w:after="0"/>
              <w:rPr>
                <w:sz w:val="20"/>
                <w:szCs w:val="20"/>
                <w:color w:val="auto"/>
              </w:rPr>
            </w:pPr>
            <w:r>
              <w:rPr>
                <w:rFonts w:ascii="Times New Roman" w:cs="Times New Roman" w:eastAsia="Times New Roman" w:hAnsi="Times New Roman"/>
                <w:sz w:val="9"/>
                <w:szCs w:val="9"/>
                <w:color w:val="auto"/>
                <w:w w:val="88"/>
              </w:rPr>
              <w:t>— </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jc w:val="right"/>
              <w:ind w:right="16"/>
              <w:spacing w:after="0"/>
              <w:rPr>
                <w:sz w:val="20"/>
                <w:szCs w:val="20"/>
                <w:color w:val="auto"/>
              </w:rPr>
            </w:pPr>
            <w:r>
              <w:rPr>
                <w:rFonts w:ascii="Times New Roman" w:cs="Times New Roman" w:eastAsia="Times New Roman" w:hAnsi="Times New Roman"/>
                <w:sz w:val="9"/>
                <w:szCs w:val="9"/>
                <w:color w:val="auto"/>
              </w:rPr>
              <w:t>— </w:t>
            </w:r>
          </w:p>
        </w:tc>
        <w:tc>
          <w:tcPr>
            <w:tcW w:w="20" w:type="dxa"/>
            <w:vAlign w:val="bottom"/>
          </w:tcPr>
          <w:p>
            <w:pPr>
              <w:spacing w:after="0"/>
              <w:rPr>
                <w:sz w:val="9"/>
                <w:szCs w:val="9"/>
                <w:color w:val="auto"/>
              </w:rPr>
            </w:pPr>
          </w:p>
        </w:tc>
        <w:tc>
          <w:tcPr>
            <w:tcW w:w="260" w:type="dxa"/>
            <w:vAlign w:val="bottom"/>
          </w:tcPr>
          <w:p>
            <w:pPr>
              <w:jc w:val="center"/>
              <w:ind w:left="87"/>
              <w:spacing w:after="0"/>
              <w:rPr>
                <w:sz w:val="20"/>
                <w:szCs w:val="20"/>
                <w:color w:val="auto"/>
              </w:rPr>
            </w:pPr>
            <w:r>
              <w:rPr>
                <w:rFonts w:ascii="Times New Roman" w:cs="Times New Roman" w:eastAsia="Times New Roman" w:hAnsi="Times New Roman"/>
                <w:sz w:val="9"/>
                <w:szCs w:val="9"/>
                <w:color w:val="auto"/>
                <w:w w:val="73"/>
              </w:rPr>
              <w:t>— </w:t>
            </w:r>
          </w:p>
        </w:tc>
        <w:tc>
          <w:tcPr>
            <w:tcW w:w="180" w:type="dxa"/>
            <w:vAlign w:val="bottom"/>
          </w:tcPr>
          <w:p>
            <w:pPr>
              <w:spacing w:after="0"/>
              <w:rPr>
                <w:sz w:val="9"/>
                <w:szCs w:val="9"/>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5,904,224</w:t>
            </w:r>
          </w:p>
        </w:tc>
        <w:tc>
          <w:tcPr>
            <w:tcW w:w="40" w:type="dxa"/>
            <w:vAlign w:val="bottom"/>
          </w:tcPr>
          <w:p>
            <w:pPr>
              <w:spacing w:after="0"/>
              <w:rPr>
                <w:sz w:val="9"/>
                <w:szCs w:val="9"/>
                <w:color w:val="auto"/>
              </w:rPr>
            </w:pP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9"/>
                <w:szCs w:val="9"/>
                <w:color w:val="auto"/>
              </w:rPr>
              <w:t>6,789,858</w:t>
            </w:r>
          </w:p>
        </w:tc>
        <w:tc>
          <w:tcPr>
            <w:tcW w:w="500" w:type="dxa"/>
            <w:vAlign w:val="bottom"/>
            <w:gridSpan w:val="3"/>
          </w:tcPr>
          <w:p>
            <w:pPr>
              <w:jc w:val="right"/>
              <w:ind w:right="75"/>
              <w:spacing w:after="0"/>
              <w:rPr>
                <w:sz w:val="20"/>
                <w:szCs w:val="20"/>
                <w:color w:val="auto"/>
              </w:rPr>
            </w:pPr>
            <w:r>
              <w:rPr>
                <w:rFonts w:ascii="Times New Roman" w:cs="Times New Roman" w:eastAsia="Times New Roman" w:hAnsi="Times New Roman"/>
                <w:sz w:val="9"/>
                <w:szCs w:val="9"/>
                <w:color w:val="auto"/>
              </w:rPr>
              <w:t>3.1%</w:t>
            </w:r>
          </w:p>
        </w:tc>
        <w:tc>
          <w:tcPr>
            <w:tcW w:w="540" w:type="dxa"/>
            <w:vAlign w:val="bottom"/>
            <w:gridSpan w:val="2"/>
          </w:tcPr>
          <w:p>
            <w:pPr>
              <w:jc w:val="right"/>
              <w:ind w:right="97"/>
              <w:spacing w:after="0"/>
              <w:rPr>
                <w:sz w:val="20"/>
                <w:szCs w:val="20"/>
                <w:color w:val="auto"/>
              </w:rPr>
            </w:pPr>
            <w:r>
              <w:rPr>
                <w:rFonts w:ascii="Times New Roman" w:cs="Times New Roman" w:eastAsia="Times New Roman" w:hAnsi="Times New Roman"/>
                <w:sz w:val="9"/>
                <w:szCs w:val="9"/>
                <w:color w:val="auto"/>
              </w:rPr>
              <w:t>2.7%</w:t>
            </w:r>
          </w:p>
        </w:tc>
        <w:tc>
          <w:tcPr>
            <w:tcW w:w="520" w:type="dxa"/>
            <w:vAlign w:val="bottom"/>
            <w:gridSpan w:val="2"/>
          </w:tcPr>
          <w:p>
            <w:pPr>
              <w:jc w:val="right"/>
              <w:ind w:right="77"/>
              <w:spacing w:after="0"/>
              <w:rPr>
                <w:sz w:val="20"/>
                <w:szCs w:val="20"/>
                <w:color w:val="auto"/>
              </w:rPr>
            </w:pPr>
            <w:r>
              <w:rPr>
                <w:rFonts w:ascii="Times New Roman" w:cs="Times New Roman" w:eastAsia="Times New Roman" w:hAnsi="Times New Roman"/>
                <w:sz w:val="9"/>
                <w:szCs w:val="9"/>
                <w:color w:val="auto"/>
              </w:rPr>
              <w:t>2.6%</w:t>
            </w:r>
          </w:p>
        </w:tc>
        <w:tc>
          <w:tcPr>
            <w:tcW w:w="0" w:type="dxa"/>
            <w:vAlign w:val="bottom"/>
          </w:tcPr>
          <w:p>
            <w:pPr>
              <w:spacing w:after="0"/>
              <w:rPr>
                <w:sz w:val="1"/>
                <w:szCs w:val="1"/>
                <w:color w:val="auto"/>
              </w:rPr>
            </w:pPr>
          </w:p>
        </w:tc>
      </w:tr>
      <w:tr>
        <w:trPr>
          <w:trHeight w:val="97"/>
        </w:trPr>
        <w:tc>
          <w:tcPr>
            <w:tcW w:w="70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9"/>
                <w:szCs w:val="9"/>
                <w:color w:val="auto"/>
              </w:rPr>
              <w:t>James M.</w:t>
            </w: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700" w:type="dxa"/>
            <w:vAlign w:val="bottom"/>
            <w:gridSpan w:val="2"/>
            <w:shd w:val="clear" w:color="auto" w:fill="CCEEFF"/>
          </w:tcPr>
          <w:p>
            <w:pPr>
              <w:ind w:left="100"/>
              <w:spacing w:after="0" w:line="111" w:lineRule="exact"/>
              <w:rPr>
                <w:sz w:val="20"/>
                <w:szCs w:val="20"/>
                <w:color w:val="auto"/>
              </w:rPr>
            </w:pPr>
            <w:r>
              <w:rPr>
                <w:rFonts w:ascii="Times New Roman" w:cs="Times New Roman" w:eastAsia="Times New Roman" w:hAnsi="Times New Roman"/>
                <w:sz w:val="8"/>
                <w:szCs w:val="8"/>
                <w:color w:val="auto"/>
              </w:rPr>
              <w:t>Boyle</w:t>
            </w:r>
            <w:r>
              <w:rPr>
                <w:rFonts w:ascii="Times New Roman" w:cs="Times New Roman" w:eastAsia="Times New Roman" w:hAnsi="Times New Roman"/>
                <w:sz w:val="12"/>
                <w:szCs w:val="12"/>
                <w:color w:val="auto"/>
                <w:vertAlign w:val="superscript"/>
              </w:rPr>
              <w:t>(10)</w:t>
            </w:r>
          </w:p>
        </w:tc>
        <w:tc>
          <w:tcPr>
            <w:tcW w:w="5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9"/>
                <w:szCs w:val="9"/>
                <w:color w:val="auto"/>
              </w:rPr>
              <w:t>— </w:t>
            </w: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jc w:val="center"/>
              <w:ind w:left="80"/>
              <w:spacing w:after="0"/>
              <w:rPr>
                <w:sz w:val="20"/>
                <w:szCs w:val="20"/>
                <w:color w:val="auto"/>
              </w:rPr>
            </w:pPr>
            <w:r>
              <w:rPr>
                <w:rFonts w:ascii="Times New Roman" w:cs="Times New Roman" w:eastAsia="Times New Roman" w:hAnsi="Times New Roman"/>
                <w:sz w:val="9"/>
                <w:szCs w:val="9"/>
                <w:color w:val="auto"/>
                <w:w w:val="73"/>
              </w:rPr>
              <w:t>— </w:t>
            </w: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9"/>
                <w:szCs w:val="9"/>
                <w:color w:val="auto"/>
              </w:rPr>
              <w:t>— </w:t>
            </w:r>
          </w:p>
        </w:tc>
        <w:tc>
          <w:tcPr>
            <w:tcW w:w="40" w:type="dxa"/>
            <w:vAlign w:val="bottom"/>
            <w:shd w:val="clear" w:color="auto" w:fill="CCEEFF"/>
          </w:tcPr>
          <w:p>
            <w:pPr>
              <w:spacing w:after="0"/>
              <w:rPr>
                <w:sz w:val="9"/>
                <w:szCs w:val="9"/>
                <w:color w:val="auto"/>
              </w:rPr>
            </w:pPr>
          </w:p>
        </w:tc>
        <w:tc>
          <w:tcPr>
            <w:tcW w:w="24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9"/>
                <w:szCs w:val="9"/>
                <w:color w:val="auto"/>
                <w:w w:val="88"/>
              </w:rPr>
              <w:t>— </w:t>
            </w: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9"/>
                <w:szCs w:val="9"/>
                <w:color w:val="auto"/>
              </w:rPr>
              <w:t>— </w:t>
            </w: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jc w:val="center"/>
              <w:ind w:left="80"/>
              <w:spacing w:after="0"/>
              <w:rPr>
                <w:sz w:val="20"/>
                <w:szCs w:val="20"/>
                <w:color w:val="auto"/>
              </w:rPr>
            </w:pPr>
            <w:r>
              <w:rPr>
                <w:rFonts w:ascii="Times New Roman" w:cs="Times New Roman" w:eastAsia="Times New Roman" w:hAnsi="Times New Roman"/>
                <w:sz w:val="9"/>
                <w:szCs w:val="9"/>
                <w:color w:val="auto"/>
                <w:w w:val="73"/>
              </w:rPr>
              <w:t>— </w:t>
            </w: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2,203,439</w:t>
            </w: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jc w:val="center"/>
              <w:ind w:left="87"/>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9"/>
                <w:szCs w:val="9"/>
                <w:color w:val="auto"/>
                <w:w w:val="87"/>
              </w:rPr>
              <w:t>*</w:t>
            </w:r>
          </w:p>
        </w:tc>
        <w:tc>
          <w:tcPr>
            <w:tcW w:w="2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2,203,439</w:t>
            </w:r>
          </w:p>
        </w:tc>
        <w:tc>
          <w:tcPr>
            <w:tcW w:w="40" w:type="dxa"/>
            <w:vAlign w:val="bottom"/>
            <w:shd w:val="clear" w:color="auto" w:fill="CCEEFF"/>
          </w:tcPr>
          <w:p>
            <w:pPr>
              <w:spacing w:after="0"/>
              <w:rPr>
                <w:sz w:val="9"/>
                <w:szCs w:val="9"/>
                <w:color w:val="auto"/>
              </w:rPr>
            </w:pPr>
          </w:p>
        </w:tc>
        <w:tc>
          <w:tcPr>
            <w:tcW w:w="260" w:type="dxa"/>
            <w:vAlign w:val="bottom"/>
            <w:shd w:val="clear" w:color="auto" w:fill="CCEEFF"/>
          </w:tcPr>
          <w:p>
            <w:pPr>
              <w:jc w:val="center"/>
              <w:ind w:left="87"/>
              <w:spacing w:after="0"/>
              <w:rPr>
                <w:sz w:val="20"/>
                <w:szCs w:val="20"/>
                <w:color w:val="auto"/>
              </w:rPr>
            </w:pPr>
            <w:r>
              <w:rPr>
                <w:rFonts w:ascii="Times New Roman" w:cs="Times New Roman" w:eastAsia="Times New Roman" w:hAnsi="Times New Roman"/>
                <w:sz w:val="2"/>
                <w:szCs w:val="2"/>
                <w:color w:val="auto"/>
                <w:w w:val="97"/>
              </w:rPr>
              <w:t> </w:t>
            </w:r>
          </w:p>
        </w:tc>
        <w:tc>
          <w:tcPr>
            <w:tcW w:w="1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5"/>
                <w:szCs w:val="5"/>
                <w:color w:val="auto"/>
                <w:w w:val="78"/>
              </w:rPr>
              <w:t>*</w:t>
            </w: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2,203,439</w:t>
            </w: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jc w:val="center"/>
              <w:ind w:left="87"/>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9"/>
                <w:szCs w:val="9"/>
                <w:color w:val="auto"/>
                <w:w w:val="87"/>
              </w:rPr>
              <w:t>*</w:t>
            </w:r>
          </w:p>
        </w:tc>
        <w:tc>
          <w:tcPr>
            <w:tcW w:w="20" w:type="dxa"/>
            <w:vAlign w:val="bottom"/>
            <w:shd w:val="clear" w:color="auto" w:fill="CCEEFF"/>
          </w:tcPr>
          <w:p>
            <w:pPr>
              <w:spacing w:after="0"/>
              <w:rPr>
                <w:sz w:val="9"/>
                <w:szCs w:val="9"/>
                <w:color w:val="auto"/>
              </w:rPr>
            </w:pPr>
          </w:p>
        </w:tc>
        <w:tc>
          <w:tcPr>
            <w:tcW w:w="5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9"/>
                <w:szCs w:val="9"/>
                <w:color w:val="auto"/>
              </w:rPr>
              <w:t>— </w:t>
            </w:r>
          </w:p>
        </w:tc>
        <w:tc>
          <w:tcPr>
            <w:tcW w:w="5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9"/>
                <w:szCs w:val="9"/>
                <w:color w:val="auto"/>
              </w:rPr>
              <w:t>— </w:t>
            </w: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2"/>
                <w:szCs w:val="2"/>
                <w:color w:val="auto"/>
                <w:w w:val="97"/>
              </w:rPr>
              <w:t> </w:t>
            </w:r>
          </w:p>
        </w:tc>
        <w:tc>
          <w:tcPr>
            <w:tcW w:w="2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9"/>
                <w:szCs w:val="9"/>
                <w:color w:val="auto"/>
                <w:w w:val="87"/>
              </w:rPr>
              <w:t>*</w:t>
            </w:r>
          </w:p>
        </w:tc>
        <w:tc>
          <w:tcPr>
            <w:tcW w:w="340" w:type="dxa"/>
            <w:vAlign w:val="bottom"/>
            <w:shd w:val="clear" w:color="auto" w:fill="CCEEFF"/>
          </w:tcPr>
          <w:p>
            <w:pPr>
              <w:jc w:val="center"/>
              <w:ind w:left="165"/>
              <w:spacing w:after="0"/>
              <w:rPr>
                <w:sz w:val="20"/>
                <w:szCs w:val="20"/>
                <w:color w:val="auto"/>
              </w:rPr>
            </w:pPr>
            <w:r>
              <w:rPr>
                <w:rFonts w:ascii="Times New Roman" w:cs="Times New Roman" w:eastAsia="Times New Roman" w:hAnsi="Times New Roman"/>
                <w:sz w:val="2"/>
                <w:szCs w:val="2"/>
                <w:color w:val="auto"/>
                <w:w w:val="97"/>
              </w:rPr>
              <w:t> </w:t>
            </w:r>
          </w:p>
        </w:tc>
        <w:tc>
          <w:tcPr>
            <w:tcW w:w="2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5"/>
                <w:szCs w:val="5"/>
                <w:color w:val="auto"/>
                <w:w w:val="78"/>
              </w:rPr>
              <w:t>*</w:t>
            </w:r>
          </w:p>
        </w:tc>
        <w:tc>
          <w:tcPr>
            <w:tcW w:w="340" w:type="dxa"/>
            <w:vAlign w:val="bottom"/>
            <w:shd w:val="clear" w:color="auto" w:fill="CCEEFF"/>
          </w:tcPr>
          <w:p>
            <w:pPr>
              <w:jc w:val="center"/>
              <w:ind w:left="166"/>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5"/>
                <w:szCs w:val="5"/>
                <w:color w:val="auto"/>
                <w:w w:val="78"/>
              </w:rPr>
              <w:t>*</w:t>
            </w:r>
          </w:p>
        </w:tc>
        <w:tc>
          <w:tcPr>
            <w:tcW w:w="0" w:type="dxa"/>
            <w:vAlign w:val="bottom"/>
          </w:tcPr>
          <w:p>
            <w:pPr>
              <w:spacing w:after="0"/>
              <w:rPr>
                <w:sz w:val="1"/>
                <w:szCs w:val="1"/>
                <w:color w:val="auto"/>
              </w:rPr>
            </w:pPr>
          </w:p>
        </w:tc>
      </w:tr>
      <w:tr>
        <w:trPr>
          <w:trHeight w:val="97"/>
        </w:trPr>
        <w:tc>
          <w:tcPr>
            <w:tcW w:w="700" w:type="dxa"/>
            <w:vAlign w:val="bottom"/>
            <w:gridSpan w:val="2"/>
          </w:tcPr>
          <w:p>
            <w:pPr>
              <w:spacing w:after="0" w:line="97" w:lineRule="exact"/>
              <w:rPr>
                <w:sz w:val="20"/>
                <w:szCs w:val="20"/>
                <w:color w:val="auto"/>
              </w:rPr>
            </w:pPr>
            <w:r>
              <w:rPr>
                <w:rFonts w:ascii="Times New Roman" w:cs="Times New Roman" w:eastAsia="Times New Roman" w:hAnsi="Times New Roman"/>
                <w:sz w:val="9"/>
                <w:szCs w:val="9"/>
                <w:color w:val="auto"/>
              </w:rPr>
              <w:t>James M.</w:t>
            </w: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700" w:type="dxa"/>
            <w:vAlign w:val="bottom"/>
            <w:gridSpan w:val="2"/>
          </w:tcPr>
          <w:p>
            <w:pPr>
              <w:ind w:left="100"/>
              <w:spacing w:after="0" w:line="111" w:lineRule="exact"/>
              <w:rPr>
                <w:sz w:val="20"/>
                <w:szCs w:val="20"/>
                <w:color w:val="auto"/>
              </w:rPr>
            </w:pPr>
            <w:r>
              <w:rPr>
                <w:rFonts w:ascii="Times New Roman" w:cs="Times New Roman" w:eastAsia="Times New Roman" w:hAnsi="Times New Roman"/>
                <w:sz w:val="8"/>
                <w:szCs w:val="8"/>
                <w:color w:val="auto"/>
              </w:rPr>
              <w:t>Pigott</w:t>
            </w:r>
            <w:r>
              <w:rPr>
                <w:rFonts w:ascii="Times New Roman" w:cs="Times New Roman" w:eastAsia="Times New Roman" w:hAnsi="Times New Roman"/>
                <w:sz w:val="12"/>
                <w:szCs w:val="12"/>
                <w:color w:val="auto"/>
                <w:vertAlign w:val="superscript"/>
              </w:rPr>
              <w:t>(11)</w:t>
            </w:r>
          </w:p>
        </w:tc>
        <w:tc>
          <w:tcPr>
            <w:tcW w:w="520" w:type="dxa"/>
            <w:vAlign w:val="bottom"/>
          </w:tcPr>
          <w:p>
            <w:pPr>
              <w:jc w:val="right"/>
              <w:ind w:right="15"/>
              <w:spacing w:after="0"/>
              <w:rPr>
                <w:sz w:val="20"/>
                <w:szCs w:val="20"/>
                <w:color w:val="auto"/>
              </w:rPr>
            </w:pPr>
            <w:r>
              <w:rPr>
                <w:rFonts w:ascii="Times New Roman" w:cs="Times New Roman" w:eastAsia="Times New Roman" w:hAnsi="Times New Roman"/>
                <w:sz w:val="9"/>
                <w:szCs w:val="9"/>
                <w:color w:val="auto"/>
              </w:rPr>
              <w:t>— </w:t>
            </w:r>
          </w:p>
        </w:tc>
        <w:tc>
          <w:tcPr>
            <w:tcW w:w="20" w:type="dxa"/>
            <w:vAlign w:val="bottom"/>
          </w:tcPr>
          <w:p>
            <w:pPr>
              <w:spacing w:after="0"/>
              <w:rPr>
                <w:sz w:val="9"/>
                <w:szCs w:val="9"/>
                <w:color w:val="auto"/>
              </w:rPr>
            </w:pPr>
          </w:p>
        </w:tc>
        <w:tc>
          <w:tcPr>
            <w:tcW w:w="260" w:type="dxa"/>
            <w:vAlign w:val="bottom"/>
          </w:tcPr>
          <w:p>
            <w:pPr>
              <w:jc w:val="center"/>
              <w:ind w:left="80"/>
              <w:spacing w:after="0"/>
              <w:rPr>
                <w:sz w:val="20"/>
                <w:szCs w:val="20"/>
                <w:color w:val="auto"/>
              </w:rPr>
            </w:pPr>
            <w:r>
              <w:rPr>
                <w:rFonts w:ascii="Times New Roman" w:cs="Times New Roman" w:eastAsia="Times New Roman" w:hAnsi="Times New Roman"/>
                <w:sz w:val="9"/>
                <w:szCs w:val="9"/>
                <w:color w:val="auto"/>
                <w:w w:val="73"/>
              </w:rPr>
              <w:t>— </w:t>
            </w: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jc w:val="right"/>
              <w:ind w:right="16"/>
              <w:spacing w:after="0"/>
              <w:rPr>
                <w:sz w:val="20"/>
                <w:szCs w:val="20"/>
                <w:color w:val="auto"/>
              </w:rPr>
            </w:pPr>
            <w:r>
              <w:rPr>
                <w:rFonts w:ascii="Times New Roman" w:cs="Times New Roman" w:eastAsia="Times New Roman" w:hAnsi="Times New Roman"/>
                <w:sz w:val="9"/>
                <w:szCs w:val="9"/>
                <w:color w:val="auto"/>
              </w:rPr>
              <w:t>— </w:t>
            </w:r>
          </w:p>
        </w:tc>
        <w:tc>
          <w:tcPr>
            <w:tcW w:w="40" w:type="dxa"/>
            <w:vAlign w:val="bottom"/>
          </w:tcPr>
          <w:p>
            <w:pPr>
              <w:spacing w:after="0"/>
              <w:rPr>
                <w:sz w:val="9"/>
                <w:szCs w:val="9"/>
                <w:color w:val="auto"/>
              </w:rPr>
            </w:pPr>
          </w:p>
        </w:tc>
        <w:tc>
          <w:tcPr>
            <w:tcW w:w="240" w:type="dxa"/>
            <w:vAlign w:val="bottom"/>
          </w:tcPr>
          <w:p>
            <w:pPr>
              <w:jc w:val="center"/>
              <w:ind w:left="79"/>
              <w:spacing w:after="0"/>
              <w:rPr>
                <w:sz w:val="20"/>
                <w:szCs w:val="20"/>
                <w:color w:val="auto"/>
              </w:rPr>
            </w:pPr>
            <w:r>
              <w:rPr>
                <w:rFonts w:ascii="Times New Roman" w:cs="Times New Roman" w:eastAsia="Times New Roman" w:hAnsi="Times New Roman"/>
                <w:sz w:val="9"/>
                <w:szCs w:val="9"/>
                <w:color w:val="auto"/>
                <w:w w:val="88"/>
              </w:rPr>
              <w:t>— </w:t>
            </w: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jc w:val="right"/>
              <w:ind w:right="16"/>
              <w:spacing w:after="0"/>
              <w:rPr>
                <w:sz w:val="20"/>
                <w:szCs w:val="20"/>
                <w:color w:val="auto"/>
              </w:rPr>
            </w:pPr>
            <w:r>
              <w:rPr>
                <w:rFonts w:ascii="Times New Roman" w:cs="Times New Roman" w:eastAsia="Times New Roman" w:hAnsi="Times New Roman"/>
                <w:sz w:val="9"/>
                <w:szCs w:val="9"/>
                <w:color w:val="auto"/>
              </w:rPr>
              <w:t>— </w:t>
            </w:r>
          </w:p>
        </w:tc>
        <w:tc>
          <w:tcPr>
            <w:tcW w:w="20" w:type="dxa"/>
            <w:vAlign w:val="bottom"/>
          </w:tcPr>
          <w:p>
            <w:pPr>
              <w:spacing w:after="0"/>
              <w:rPr>
                <w:sz w:val="9"/>
                <w:szCs w:val="9"/>
                <w:color w:val="auto"/>
              </w:rPr>
            </w:pPr>
          </w:p>
        </w:tc>
        <w:tc>
          <w:tcPr>
            <w:tcW w:w="260" w:type="dxa"/>
            <w:vAlign w:val="bottom"/>
          </w:tcPr>
          <w:p>
            <w:pPr>
              <w:jc w:val="center"/>
              <w:ind w:left="80"/>
              <w:spacing w:after="0"/>
              <w:rPr>
                <w:sz w:val="20"/>
                <w:szCs w:val="20"/>
                <w:color w:val="auto"/>
              </w:rPr>
            </w:pPr>
            <w:r>
              <w:rPr>
                <w:rFonts w:ascii="Times New Roman" w:cs="Times New Roman" w:eastAsia="Times New Roman" w:hAnsi="Times New Roman"/>
                <w:sz w:val="9"/>
                <w:szCs w:val="9"/>
                <w:color w:val="auto"/>
                <w:w w:val="73"/>
              </w:rPr>
              <w:t>— </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2,837,031</w:t>
            </w:r>
          </w:p>
        </w:tc>
        <w:tc>
          <w:tcPr>
            <w:tcW w:w="20" w:type="dxa"/>
            <w:vAlign w:val="bottom"/>
          </w:tcPr>
          <w:p>
            <w:pPr>
              <w:spacing w:after="0"/>
              <w:rPr>
                <w:sz w:val="9"/>
                <w:szCs w:val="9"/>
                <w:color w:val="auto"/>
              </w:rPr>
            </w:pPr>
          </w:p>
        </w:tc>
        <w:tc>
          <w:tcPr>
            <w:tcW w:w="260" w:type="dxa"/>
            <w:vAlign w:val="bottom"/>
          </w:tcPr>
          <w:p>
            <w:pPr>
              <w:jc w:val="center"/>
              <w:ind w:left="87"/>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w w:val="87"/>
              </w:rPr>
              <w:t>*</w:t>
            </w:r>
          </w:p>
        </w:tc>
        <w:tc>
          <w:tcPr>
            <w:tcW w:w="2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2,837,031</w:t>
            </w:r>
          </w:p>
        </w:tc>
        <w:tc>
          <w:tcPr>
            <w:tcW w:w="40" w:type="dxa"/>
            <w:vAlign w:val="bottom"/>
          </w:tcPr>
          <w:p>
            <w:pPr>
              <w:spacing w:after="0"/>
              <w:rPr>
                <w:sz w:val="9"/>
                <w:szCs w:val="9"/>
                <w:color w:val="auto"/>
              </w:rPr>
            </w:pPr>
          </w:p>
        </w:tc>
        <w:tc>
          <w:tcPr>
            <w:tcW w:w="260" w:type="dxa"/>
            <w:vAlign w:val="bottom"/>
          </w:tcPr>
          <w:p>
            <w:pPr>
              <w:jc w:val="center"/>
              <w:ind w:left="87"/>
              <w:spacing w:after="0"/>
              <w:rPr>
                <w:sz w:val="20"/>
                <w:szCs w:val="20"/>
                <w:color w:val="auto"/>
              </w:rPr>
            </w:pPr>
            <w:r>
              <w:rPr>
                <w:rFonts w:ascii="Times New Roman" w:cs="Times New Roman" w:eastAsia="Times New Roman" w:hAnsi="Times New Roman"/>
                <w:sz w:val="2"/>
                <w:szCs w:val="2"/>
                <w:color w:val="auto"/>
                <w:w w:val="97"/>
              </w:rPr>
              <w:t> </w:t>
            </w:r>
          </w:p>
        </w:tc>
        <w:tc>
          <w:tcPr>
            <w:tcW w:w="160" w:type="dxa"/>
            <w:vAlign w:val="bottom"/>
          </w:tcPr>
          <w:p>
            <w:pPr>
              <w:jc w:val="right"/>
              <w:ind w:right="97"/>
              <w:spacing w:after="0"/>
              <w:rPr>
                <w:sz w:val="20"/>
                <w:szCs w:val="20"/>
                <w:color w:val="auto"/>
              </w:rPr>
            </w:pPr>
            <w:r>
              <w:rPr>
                <w:rFonts w:ascii="Times New Roman" w:cs="Times New Roman" w:eastAsia="Times New Roman" w:hAnsi="Times New Roman"/>
                <w:sz w:val="5"/>
                <w:szCs w:val="5"/>
                <w:color w:val="auto"/>
                <w:w w:val="78"/>
              </w:rPr>
              <w:t>*</w:t>
            </w:r>
          </w:p>
        </w:tc>
        <w:tc>
          <w:tcPr>
            <w:tcW w:w="4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2,837,031</w:t>
            </w:r>
          </w:p>
        </w:tc>
        <w:tc>
          <w:tcPr>
            <w:tcW w:w="20" w:type="dxa"/>
            <w:vAlign w:val="bottom"/>
          </w:tcPr>
          <w:p>
            <w:pPr>
              <w:spacing w:after="0"/>
              <w:rPr>
                <w:sz w:val="9"/>
                <w:szCs w:val="9"/>
                <w:color w:val="auto"/>
              </w:rPr>
            </w:pPr>
          </w:p>
        </w:tc>
        <w:tc>
          <w:tcPr>
            <w:tcW w:w="260" w:type="dxa"/>
            <w:vAlign w:val="bottom"/>
          </w:tcPr>
          <w:p>
            <w:pPr>
              <w:jc w:val="center"/>
              <w:ind w:left="87"/>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w w:val="87"/>
              </w:rPr>
              <w:t>*</w:t>
            </w:r>
          </w:p>
        </w:tc>
        <w:tc>
          <w:tcPr>
            <w:tcW w:w="20" w:type="dxa"/>
            <w:vAlign w:val="bottom"/>
          </w:tcPr>
          <w:p>
            <w:pPr>
              <w:spacing w:after="0"/>
              <w:rPr>
                <w:sz w:val="9"/>
                <w:szCs w:val="9"/>
                <w:color w:val="auto"/>
              </w:rPr>
            </w:pPr>
          </w:p>
        </w:tc>
        <w:tc>
          <w:tcPr>
            <w:tcW w:w="560" w:type="dxa"/>
            <w:vAlign w:val="bottom"/>
            <w:gridSpan w:val="2"/>
          </w:tcPr>
          <w:p>
            <w:pPr>
              <w:ind w:left="340"/>
              <w:spacing w:after="0"/>
              <w:rPr>
                <w:sz w:val="20"/>
                <w:szCs w:val="20"/>
                <w:color w:val="auto"/>
              </w:rPr>
            </w:pPr>
            <w:r>
              <w:rPr>
                <w:rFonts w:ascii="Times New Roman" w:cs="Times New Roman" w:eastAsia="Times New Roman" w:hAnsi="Times New Roman"/>
                <w:sz w:val="9"/>
                <w:szCs w:val="9"/>
                <w:color w:val="auto"/>
              </w:rPr>
              <w:t>— </w:t>
            </w:r>
          </w:p>
        </w:tc>
        <w:tc>
          <w:tcPr>
            <w:tcW w:w="5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— </w:t>
            </w:r>
          </w:p>
        </w:tc>
        <w:tc>
          <w:tcPr>
            <w:tcW w:w="20" w:type="dxa"/>
            <w:vAlign w:val="bottom"/>
          </w:tcPr>
          <w:p>
            <w:pPr>
              <w:spacing w:after="0"/>
              <w:rPr>
                <w:sz w:val="9"/>
                <w:szCs w:val="9"/>
                <w:color w:val="auto"/>
              </w:rPr>
            </w:pPr>
          </w:p>
        </w:tc>
        <w:tc>
          <w:tcPr>
            <w:tcW w:w="280" w:type="dxa"/>
            <w:vAlign w:val="bottom"/>
          </w:tcPr>
          <w:p>
            <w:pPr>
              <w:jc w:val="center"/>
              <w:ind w:left="110"/>
              <w:spacing w:after="0"/>
              <w:rPr>
                <w:sz w:val="20"/>
                <w:szCs w:val="20"/>
                <w:color w:val="auto"/>
              </w:rPr>
            </w:pPr>
            <w:r>
              <w:rPr>
                <w:rFonts w:ascii="Times New Roman" w:cs="Times New Roman" w:eastAsia="Times New Roman" w:hAnsi="Times New Roman"/>
                <w:sz w:val="2"/>
                <w:szCs w:val="2"/>
                <w:color w:val="auto"/>
                <w:w w:val="97"/>
              </w:rPr>
              <w:t> </w:t>
            </w:r>
          </w:p>
        </w:tc>
        <w:tc>
          <w:tcPr>
            <w:tcW w:w="200" w:type="dxa"/>
            <w:vAlign w:val="bottom"/>
          </w:tcPr>
          <w:p>
            <w:pPr>
              <w:jc w:val="right"/>
              <w:ind w:right="95"/>
              <w:spacing w:after="0"/>
              <w:rPr>
                <w:sz w:val="20"/>
                <w:szCs w:val="20"/>
                <w:color w:val="auto"/>
              </w:rPr>
            </w:pPr>
            <w:r>
              <w:rPr>
                <w:rFonts w:ascii="Times New Roman" w:cs="Times New Roman" w:eastAsia="Times New Roman" w:hAnsi="Times New Roman"/>
                <w:sz w:val="9"/>
                <w:szCs w:val="9"/>
                <w:color w:val="auto"/>
                <w:w w:val="87"/>
              </w:rPr>
              <w:t>*</w:t>
            </w:r>
          </w:p>
        </w:tc>
        <w:tc>
          <w:tcPr>
            <w:tcW w:w="340" w:type="dxa"/>
            <w:vAlign w:val="bottom"/>
          </w:tcPr>
          <w:p>
            <w:pPr>
              <w:jc w:val="center"/>
              <w:ind w:left="165"/>
              <w:spacing w:after="0"/>
              <w:rPr>
                <w:sz w:val="20"/>
                <w:szCs w:val="20"/>
                <w:color w:val="auto"/>
              </w:rPr>
            </w:pPr>
            <w:r>
              <w:rPr>
                <w:rFonts w:ascii="Times New Roman" w:cs="Times New Roman" w:eastAsia="Times New Roman" w:hAnsi="Times New Roman"/>
                <w:sz w:val="2"/>
                <w:szCs w:val="2"/>
                <w:color w:val="auto"/>
                <w:w w:val="97"/>
              </w:rPr>
              <w:t> </w:t>
            </w:r>
          </w:p>
        </w:tc>
        <w:tc>
          <w:tcPr>
            <w:tcW w:w="200" w:type="dxa"/>
            <w:vAlign w:val="bottom"/>
          </w:tcPr>
          <w:p>
            <w:pPr>
              <w:jc w:val="right"/>
              <w:ind w:right="137"/>
              <w:spacing w:after="0"/>
              <w:rPr>
                <w:sz w:val="20"/>
                <w:szCs w:val="20"/>
                <w:color w:val="auto"/>
              </w:rPr>
            </w:pPr>
            <w:r>
              <w:rPr>
                <w:rFonts w:ascii="Times New Roman" w:cs="Times New Roman" w:eastAsia="Times New Roman" w:hAnsi="Times New Roman"/>
                <w:sz w:val="5"/>
                <w:szCs w:val="5"/>
                <w:color w:val="auto"/>
                <w:w w:val="78"/>
              </w:rPr>
              <w:t>*</w:t>
            </w:r>
          </w:p>
        </w:tc>
        <w:tc>
          <w:tcPr>
            <w:tcW w:w="340" w:type="dxa"/>
            <w:vAlign w:val="bottom"/>
          </w:tcPr>
          <w:p>
            <w:pPr>
              <w:jc w:val="center"/>
              <w:ind w:left="166"/>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jc w:val="right"/>
              <w:ind w:right="117"/>
              <w:spacing w:after="0"/>
              <w:rPr>
                <w:sz w:val="20"/>
                <w:szCs w:val="20"/>
                <w:color w:val="auto"/>
              </w:rPr>
            </w:pPr>
            <w:r>
              <w:rPr>
                <w:rFonts w:ascii="Times New Roman" w:cs="Times New Roman" w:eastAsia="Times New Roman" w:hAnsi="Times New Roman"/>
                <w:sz w:val="5"/>
                <w:szCs w:val="5"/>
                <w:color w:val="auto"/>
                <w:w w:val="78"/>
              </w:rPr>
              <w:t>*</w:t>
            </w:r>
          </w:p>
        </w:tc>
        <w:tc>
          <w:tcPr>
            <w:tcW w:w="0" w:type="dxa"/>
            <w:vAlign w:val="bottom"/>
          </w:tcPr>
          <w:p>
            <w:pPr>
              <w:spacing w:after="0"/>
              <w:rPr>
                <w:sz w:val="1"/>
                <w:szCs w:val="1"/>
                <w:color w:val="auto"/>
              </w:rPr>
            </w:pPr>
          </w:p>
        </w:tc>
      </w:tr>
      <w:tr>
        <w:trPr>
          <w:trHeight w:val="97"/>
        </w:trPr>
        <w:tc>
          <w:tcPr>
            <w:tcW w:w="70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9"/>
                <w:szCs w:val="9"/>
                <w:color w:val="auto"/>
              </w:rPr>
              <w:t>Michael B.</w:t>
            </w: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700" w:type="dxa"/>
            <w:vAlign w:val="bottom"/>
            <w:gridSpan w:val="2"/>
            <w:shd w:val="clear" w:color="auto" w:fill="CCEEFF"/>
          </w:tcPr>
          <w:p>
            <w:pPr>
              <w:ind w:left="100"/>
              <w:spacing w:after="0" w:line="111" w:lineRule="exact"/>
              <w:rPr>
                <w:sz w:val="20"/>
                <w:szCs w:val="20"/>
                <w:color w:val="auto"/>
              </w:rPr>
            </w:pPr>
            <w:r>
              <w:rPr>
                <w:rFonts w:ascii="Times New Roman" w:cs="Times New Roman" w:eastAsia="Times New Roman" w:hAnsi="Times New Roman"/>
                <w:sz w:val="8"/>
                <w:szCs w:val="8"/>
                <w:color w:val="auto"/>
              </w:rPr>
              <w:t>Drazin</w:t>
            </w:r>
            <w:r>
              <w:rPr>
                <w:rFonts w:ascii="Times New Roman" w:cs="Times New Roman" w:eastAsia="Times New Roman" w:hAnsi="Times New Roman"/>
                <w:sz w:val="12"/>
                <w:szCs w:val="12"/>
                <w:color w:val="auto"/>
                <w:vertAlign w:val="superscript"/>
              </w:rPr>
              <w:t>(12)</w:t>
            </w:r>
          </w:p>
        </w:tc>
        <w:tc>
          <w:tcPr>
            <w:tcW w:w="5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9"/>
                <w:szCs w:val="9"/>
                <w:color w:val="auto"/>
              </w:rPr>
              <w:t>— </w:t>
            </w: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jc w:val="center"/>
              <w:ind w:left="80"/>
              <w:spacing w:after="0"/>
              <w:rPr>
                <w:sz w:val="20"/>
                <w:szCs w:val="20"/>
                <w:color w:val="auto"/>
              </w:rPr>
            </w:pPr>
            <w:r>
              <w:rPr>
                <w:rFonts w:ascii="Times New Roman" w:cs="Times New Roman" w:eastAsia="Times New Roman" w:hAnsi="Times New Roman"/>
                <w:sz w:val="9"/>
                <w:szCs w:val="9"/>
                <w:color w:val="auto"/>
                <w:w w:val="73"/>
              </w:rPr>
              <w:t>— </w:t>
            </w: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9"/>
                <w:szCs w:val="9"/>
                <w:color w:val="auto"/>
              </w:rPr>
              <w:t>— </w:t>
            </w:r>
          </w:p>
        </w:tc>
        <w:tc>
          <w:tcPr>
            <w:tcW w:w="40" w:type="dxa"/>
            <w:vAlign w:val="bottom"/>
            <w:shd w:val="clear" w:color="auto" w:fill="CCEEFF"/>
          </w:tcPr>
          <w:p>
            <w:pPr>
              <w:spacing w:after="0"/>
              <w:rPr>
                <w:sz w:val="9"/>
                <w:szCs w:val="9"/>
                <w:color w:val="auto"/>
              </w:rPr>
            </w:pPr>
          </w:p>
        </w:tc>
        <w:tc>
          <w:tcPr>
            <w:tcW w:w="24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9"/>
                <w:szCs w:val="9"/>
                <w:color w:val="auto"/>
                <w:w w:val="88"/>
              </w:rPr>
              <w:t>— </w:t>
            </w: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9"/>
                <w:szCs w:val="9"/>
                <w:color w:val="auto"/>
              </w:rPr>
              <w:t>— </w:t>
            </w: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jc w:val="center"/>
              <w:ind w:left="80"/>
              <w:spacing w:after="0"/>
              <w:rPr>
                <w:sz w:val="20"/>
                <w:szCs w:val="20"/>
                <w:color w:val="auto"/>
              </w:rPr>
            </w:pPr>
            <w:r>
              <w:rPr>
                <w:rFonts w:ascii="Times New Roman" w:cs="Times New Roman" w:eastAsia="Times New Roman" w:hAnsi="Times New Roman"/>
                <w:sz w:val="9"/>
                <w:szCs w:val="9"/>
                <w:color w:val="auto"/>
                <w:w w:val="73"/>
              </w:rPr>
              <w:t>— </w:t>
            </w: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1,712,841</w:t>
            </w: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jc w:val="center"/>
              <w:ind w:left="87"/>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9"/>
                <w:szCs w:val="9"/>
                <w:color w:val="auto"/>
                <w:w w:val="87"/>
              </w:rPr>
              <w:t>*</w:t>
            </w:r>
          </w:p>
        </w:tc>
        <w:tc>
          <w:tcPr>
            <w:tcW w:w="2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1,712,841</w:t>
            </w:r>
          </w:p>
        </w:tc>
        <w:tc>
          <w:tcPr>
            <w:tcW w:w="40" w:type="dxa"/>
            <w:vAlign w:val="bottom"/>
            <w:shd w:val="clear" w:color="auto" w:fill="CCEEFF"/>
          </w:tcPr>
          <w:p>
            <w:pPr>
              <w:spacing w:after="0"/>
              <w:rPr>
                <w:sz w:val="9"/>
                <w:szCs w:val="9"/>
                <w:color w:val="auto"/>
              </w:rPr>
            </w:pPr>
          </w:p>
        </w:tc>
        <w:tc>
          <w:tcPr>
            <w:tcW w:w="260" w:type="dxa"/>
            <w:vAlign w:val="bottom"/>
            <w:shd w:val="clear" w:color="auto" w:fill="CCEEFF"/>
          </w:tcPr>
          <w:p>
            <w:pPr>
              <w:jc w:val="center"/>
              <w:ind w:left="87"/>
              <w:spacing w:after="0"/>
              <w:rPr>
                <w:sz w:val="20"/>
                <w:szCs w:val="20"/>
                <w:color w:val="auto"/>
              </w:rPr>
            </w:pPr>
            <w:r>
              <w:rPr>
                <w:rFonts w:ascii="Times New Roman" w:cs="Times New Roman" w:eastAsia="Times New Roman" w:hAnsi="Times New Roman"/>
                <w:sz w:val="2"/>
                <w:szCs w:val="2"/>
                <w:color w:val="auto"/>
                <w:w w:val="97"/>
              </w:rPr>
              <w:t> </w:t>
            </w:r>
          </w:p>
        </w:tc>
        <w:tc>
          <w:tcPr>
            <w:tcW w:w="1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5"/>
                <w:szCs w:val="5"/>
                <w:color w:val="auto"/>
                <w:w w:val="78"/>
              </w:rPr>
              <w:t>*</w:t>
            </w: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1,712,841</w:t>
            </w: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jc w:val="center"/>
              <w:ind w:left="87"/>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9"/>
                <w:szCs w:val="9"/>
                <w:color w:val="auto"/>
                <w:w w:val="87"/>
              </w:rPr>
              <w:t>*</w:t>
            </w:r>
          </w:p>
        </w:tc>
        <w:tc>
          <w:tcPr>
            <w:tcW w:w="20" w:type="dxa"/>
            <w:vAlign w:val="bottom"/>
            <w:shd w:val="clear" w:color="auto" w:fill="CCEEFF"/>
          </w:tcPr>
          <w:p>
            <w:pPr>
              <w:spacing w:after="0"/>
              <w:rPr>
                <w:sz w:val="9"/>
                <w:szCs w:val="9"/>
                <w:color w:val="auto"/>
              </w:rPr>
            </w:pPr>
          </w:p>
        </w:tc>
        <w:tc>
          <w:tcPr>
            <w:tcW w:w="5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9"/>
                <w:szCs w:val="9"/>
                <w:color w:val="auto"/>
              </w:rPr>
              <w:t>— </w:t>
            </w:r>
          </w:p>
        </w:tc>
        <w:tc>
          <w:tcPr>
            <w:tcW w:w="5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9"/>
                <w:szCs w:val="9"/>
                <w:color w:val="auto"/>
              </w:rPr>
              <w:t>— </w:t>
            </w: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2"/>
                <w:szCs w:val="2"/>
                <w:color w:val="auto"/>
                <w:w w:val="97"/>
              </w:rPr>
              <w:t> </w:t>
            </w:r>
          </w:p>
        </w:tc>
        <w:tc>
          <w:tcPr>
            <w:tcW w:w="2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9"/>
                <w:szCs w:val="9"/>
                <w:color w:val="auto"/>
                <w:w w:val="87"/>
              </w:rPr>
              <w:t>*</w:t>
            </w:r>
          </w:p>
        </w:tc>
        <w:tc>
          <w:tcPr>
            <w:tcW w:w="340" w:type="dxa"/>
            <w:vAlign w:val="bottom"/>
            <w:shd w:val="clear" w:color="auto" w:fill="CCEEFF"/>
          </w:tcPr>
          <w:p>
            <w:pPr>
              <w:jc w:val="center"/>
              <w:ind w:left="165"/>
              <w:spacing w:after="0"/>
              <w:rPr>
                <w:sz w:val="20"/>
                <w:szCs w:val="20"/>
                <w:color w:val="auto"/>
              </w:rPr>
            </w:pPr>
            <w:r>
              <w:rPr>
                <w:rFonts w:ascii="Times New Roman" w:cs="Times New Roman" w:eastAsia="Times New Roman" w:hAnsi="Times New Roman"/>
                <w:sz w:val="2"/>
                <w:szCs w:val="2"/>
                <w:color w:val="auto"/>
                <w:w w:val="97"/>
              </w:rPr>
              <w:t> </w:t>
            </w:r>
          </w:p>
        </w:tc>
        <w:tc>
          <w:tcPr>
            <w:tcW w:w="2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5"/>
                <w:szCs w:val="5"/>
                <w:color w:val="auto"/>
                <w:w w:val="78"/>
              </w:rPr>
              <w:t>*</w:t>
            </w:r>
          </w:p>
        </w:tc>
        <w:tc>
          <w:tcPr>
            <w:tcW w:w="340" w:type="dxa"/>
            <w:vAlign w:val="bottom"/>
            <w:shd w:val="clear" w:color="auto" w:fill="CCEEFF"/>
          </w:tcPr>
          <w:p>
            <w:pPr>
              <w:jc w:val="center"/>
              <w:ind w:left="166"/>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5"/>
                <w:szCs w:val="5"/>
                <w:color w:val="auto"/>
                <w:w w:val="78"/>
              </w:rPr>
              <w:t>*</w:t>
            </w:r>
          </w:p>
        </w:tc>
        <w:tc>
          <w:tcPr>
            <w:tcW w:w="0" w:type="dxa"/>
            <w:vAlign w:val="bottom"/>
          </w:tcPr>
          <w:p>
            <w:pPr>
              <w:spacing w:after="0"/>
              <w:rPr>
                <w:sz w:val="1"/>
                <w:szCs w:val="1"/>
                <w:color w:val="auto"/>
              </w:rPr>
            </w:pPr>
          </w:p>
        </w:tc>
      </w:tr>
      <w:tr>
        <w:trPr>
          <w:trHeight w:val="97"/>
        </w:trPr>
        <w:tc>
          <w:tcPr>
            <w:tcW w:w="700" w:type="dxa"/>
            <w:vAlign w:val="bottom"/>
            <w:gridSpan w:val="2"/>
          </w:tcPr>
          <w:p>
            <w:pPr>
              <w:spacing w:after="0" w:line="97" w:lineRule="exact"/>
              <w:rPr>
                <w:sz w:val="20"/>
                <w:szCs w:val="20"/>
                <w:color w:val="auto"/>
              </w:rPr>
            </w:pPr>
            <w:r>
              <w:rPr>
                <w:rFonts w:ascii="Times New Roman" w:cs="Times New Roman" w:eastAsia="Times New Roman" w:hAnsi="Times New Roman"/>
                <w:sz w:val="9"/>
                <w:szCs w:val="9"/>
                <w:color w:val="auto"/>
              </w:rPr>
              <w:t>Stephen L.</w:t>
            </w: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700" w:type="dxa"/>
            <w:vAlign w:val="bottom"/>
            <w:gridSpan w:val="2"/>
          </w:tcPr>
          <w:p>
            <w:pPr>
              <w:ind w:left="100"/>
              <w:spacing w:after="0" w:line="111" w:lineRule="exact"/>
              <w:rPr>
                <w:sz w:val="20"/>
                <w:szCs w:val="20"/>
                <w:color w:val="auto"/>
              </w:rPr>
            </w:pPr>
            <w:r>
              <w:rPr>
                <w:rFonts w:ascii="Times New Roman" w:cs="Times New Roman" w:eastAsia="Times New Roman" w:hAnsi="Times New Roman"/>
                <w:sz w:val="8"/>
                <w:szCs w:val="8"/>
                <w:color w:val="auto"/>
              </w:rPr>
              <w:t>Miller</w:t>
            </w:r>
            <w:r>
              <w:rPr>
                <w:rFonts w:ascii="Times New Roman" w:cs="Times New Roman" w:eastAsia="Times New Roman" w:hAnsi="Times New Roman"/>
                <w:sz w:val="12"/>
                <w:szCs w:val="12"/>
                <w:color w:val="auto"/>
                <w:vertAlign w:val="superscript"/>
              </w:rPr>
              <w:t>(13)</w:t>
            </w:r>
          </w:p>
        </w:tc>
        <w:tc>
          <w:tcPr>
            <w:tcW w:w="520" w:type="dxa"/>
            <w:vAlign w:val="bottom"/>
          </w:tcPr>
          <w:p>
            <w:pPr>
              <w:jc w:val="right"/>
              <w:ind w:right="15"/>
              <w:spacing w:after="0"/>
              <w:rPr>
                <w:sz w:val="20"/>
                <w:szCs w:val="20"/>
                <w:color w:val="auto"/>
              </w:rPr>
            </w:pPr>
            <w:r>
              <w:rPr>
                <w:rFonts w:ascii="Times New Roman" w:cs="Times New Roman" w:eastAsia="Times New Roman" w:hAnsi="Times New Roman"/>
                <w:sz w:val="9"/>
                <w:szCs w:val="9"/>
                <w:color w:val="auto"/>
              </w:rPr>
              <w:t>— </w:t>
            </w:r>
          </w:p>
        </w:tc>
        <w:tc>
          <w:tcPr>
            <w:tcW w:w="20" w:type="dxa"/>
            <w:vAlign w:val="bottom"/>
          </w:tcPr>
          <w:p>
            <w:pPr>
              <w:spacing w:after="0"/>
              <w:rPr>
                <w:sz w:val="9"/>
                <w:szCs w:val="9"/>
                <w:color w:val="auto"/>
              </w:rPr>
            </w:pPr>
          </w:p>
        </w:tc>
        <w:tc>
          <w:tcPr>
            <w:tcW w:w="260" w:type="dxa"/>
            <w:vAlign w:val="bottom"/>
          </w:tcPr>
          <w:p>
            <w:pPr>
              <w:jc w:val="center"/>
              <w:ind w:left="80"/>
              <w:spacing w:after="0"/>
              <w:rPr>
                <w:sz w:val="20"/>
                <w:szCs w:val="20"/>
                <w:color w:val="auto"/>
              </w:rPr>
            </w:pPr>
            <w:r>
              <w:rPr>
                <w:rFonts w:ascii="Times New Roman" w:cs="Times New Roman" w:eastAsia="Times New Roman" w:hAnsi="Times New Roman"/>
                <w:sz w:val="9"/>
                <w:szCs w:val="9"/>
                <w:color w:val="auto"/>
                <w:w w:val="73"/>
              </w:rPr>
              <w:t>— </w:t>
            </w: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jc w:val="right"/>
              <w:ind w:right="16"/>
              <w:spacing w:after="0"/>
              <w:rPr>
                <w:sz w:val="20"/>
                <w:szCs w:val="20"/>
                <w:color w:val="auto"/>
              </w:rPr>
            </w:pPr>
            <w:r>
              <w:rPr>
                <w:rFonts w:ascii="Times New Roman" w:cs="Times New Roman" w:eastAsia="Times New Roman" w:hAnsi="Times New Roman"/>
                <w:sz w:val="9"/>
                <w:szCs w:val="9"/>
                <w:color w:val="auto"/>
              </w:rPr>
              <w:t>— </w:t>
            </w:r>
          </w:p>
        </w:tc>
        <w:tc>
          <w:tcPr>
            <w:tcW w:w="40" w:type="dxa"/>
            <w:vAlign w:val="bottom"/>
          </w:tcPr>
          <w:p>
            <w:pPr>
              <w:spacing w:after="0"/>
              <w:rPr>
                <w:sz w:val="9"/>
                <w:szCs w:val="9"/>
                <w:color w:val="auto"/>
              </w:rPr>
            </w:pPr>
          </w:p>
        </w:tc>
        <w:tc>
          <w:tcPr>
            <w:tcW w:w="240" w:type="dxa"/>
            <w:vAlign w:val="bottom"/>
          </w:tcPr>
          <w:p>
            <w:pPr>
              <w:jc w:val="center"/>
              <w:ind w:left="79"/>
              <w:spacing w:after="0"/>
              <w:rPr>
                <w:sz w:val="20"/>
                <w:szCs w:val="20"/>
                <w:color w:val="auto"/>
              </w:rPr>
            </w:pPr>
            <w:r>
              <w:rPr>
                <w:rFonts w:ascii="Times New Roman" w:cs="Times New Roman" w:eastAsia="Times New Roman" w:hAnsi="Times New Roman"/>
                <w:sz w:val="9"/>
                <w:szCs w:val="9"/>
                <w:color w:val="auto"/>
                <w:w w:val="88"/>
              </w:rPr>
              <w:t>— </w:t>
            </w: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jc w:val="right"/>
              <w:ind w:right="16"/>
              <w:spacing w:after="0"/>
              <w:rPr>
                <w:sz w:val="20"/>
                <w:szCs w:val="20"/>
                <w:color w:val="auto"/>
              </w:rPr>
            </w:pPr>
            <w:r>
              <w:rPr>
                <w:rFonts w:ascii="Times New Roman" w:cs="Times New Roman" w:eastAsia="Times New Roman" w:hAnsi="Times New Roman"/>
                <w:sz w:val="9"/>
                <w:szCs w:val="9"/>
                <w:color w:val="auto"/>
              </w:rPr>
              <w:t>— </w:t>
            </w:r>
          </w:p>
        </w:tc>
        <w:tc>
          <w:tcPr>
            <w:tcW w:w="20" w:type="dxa"/>
            <w:vAlign w:val="bottom"/>
          </w:tcPr>
          <w:p>
            <w:pPr>
              <w:spacing w:after="0"/>
              <w:rPr>
                <w:sz w:val="9"/>
                <w:szCs w:val="9"/>
                <w:color w:val="auto"/>
              </w:rPr>
            </w:pPr>
          </w:p>
        </w:tc>
        <w:tc>
          <w:tcPr>
            <w:tcW w:w="260" w:type="dxa"/>
            <w:vAlign w:val="bottom"/>
          </w:tcPr>
          <w:p>
            <w:pPr>
              <w:jc w:val="center"/>
              <w:ind w:left="80"/>
              <w:spacing w:after="0"/>
              <w:rPr>
                <w:sz w:val="20"/>
                <w:szCs w:val="20"/>
                <w:color w:val="auto"/>
              </w:rPr>
            </w:pPr>
            <w:r>
              <w:rPr>
                <w:rFonts w:ascii="Times New Roman" w:cs="Times New Roman" w:eastAsia="Times New Roman" w:hAnsi="Times New Roman"/>
                <w:sz w:val="9"/>
                <w:szCs w:val="9"/>
                <w:color w:val="auto"/>
                <w:w w:val="73"/>
              </w:rPr>
              <w:t>— </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540,352</w:t>
            </w:r>
          </w:p>
        </w:tc>
        <w:tc>
          <w:tcPr>
            <w:tcW w:w="20" w:type="dxa"/>
            <w:vAlign w:val="bottom"/>
          </w:tcPr>
          <w:p>
            <w:pPr>
              <w:spacing w:after="0"/>
              <w:rPr>
                <w:sz w:val="9"/>
                <w:szCs w:val="9"/>
                <w:color w:val="auto"/>
              </w:rPr>
            </w:pPr>
          </w:p>
        </w:tc>
        <w:tc>
          <w:tcPr>
            <w:tcW w:w="260" w:type="dxa"/>
            <w:vAlign w:val="bottom"/>
          </w:tcPr>
          <w:p>
            <w:pPr>
              <w:jc w:val="center"/>
              <w:ind w:left="87"/>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w w:val="87"/>
              </w:rPr>
              <w:t>*</w:t>
            </w:r>
          </w:p>
        </w:tc>
        <w:tc>
          <w:tcPr>
            <w:tcW w:w="2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540,352</w:t>
            </w:r>
          </w:p>
        </w:tc>
        <w:tc>
          <w:tcPr>
            <w:tcW w:w="40" w:type="dxa"/>
            <w:vAlign w:val="bottom"/>
          </w:tcPr>
          <w:p>
            <w:pPr>
              <w:spacing w:after="0"/>
              <w:rPr>
                <w:sz w:val="9"/>
                <w:szCs w:val="9"/>
                <w:color w:val="auto"/>
              </w:rPr>
            </w:pPr>
          </w:p>
        </w:tc>
        <w:tc>
          <w:tcPr>
            <w:tcW w:w="260" w:type="dxa"/>
            <w:vAlign w:val="bottom"/>
          </w:tcPr>
          <w:p>
            <w:pPr>
              <w:jc w:val="center"/>
              <w:ind w:left="87"/>
              <w:spacing w:after="0"/>
              <w:rPr>
                <w:sz w:val="20"/>
                <w:szCs w:val="20"/>
                <w:color w:val="auto"/>
              </w:rPr>
            </w:pPr>
            <w:r>
              <w:rPr>
                <w:rFonts w:ascii="Times New Roman" w:cs="Times New Roman" w:eastAsia="Times New Roman" w:hAnsi="Times New Roman"/>
                <w:sz w:val="2"/>
                <w:szCs w:val="2"/>
                <w:color w:val="auto"/>
                <w:w w:val="97"/>
              </w:rPr>
              <w:t> </w:t>
            </w:r>
          </w:p>
        </w:tc>
        <w:tc>
          <w:tcPr>
            <w:tcW w:w="160" w:type="dxa"/>
            <w:vAlign w:val="bottom"/>
          </w:tcPr>
          <w:p>
            <w:pPr>
              <w:jc w:val="right"/>
              <w:ind w:right="97"/>
              <w:spacing w:after="0"/>
              <w:rPr>
                <w:sz w:val="20"/>
                <w:szCs w:val="20"/>
                <w:color w:val="auto"/>
              </w:rPr>
            </w:pPr>
            <w:r>
              <w:rPr>
                <w:rFonts w:ascii="Times New Roman" w:cs="Times New Roman" w:eastAsia="Times New Roman" w:hAnsi="Times New Roman"/>
                <w:sz w:val="5"/>
                <w:szCs w:val="5"/>
                <w:color w:val="auto"/>
                <w:w w:val="78"/>
              </w:rPr>
              <w:t>*</w:t>
            </w:r>
          </w:p>
        </w:tc>
        <w:tc>
          <w:tcPr>
            <w:tcW w:w="4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540,352</w:t>
            </w:r>
          </w:p>
        </w:tc>
        <w:tc>
          <w:tcPr>
            <w:tcW w:w="20" w:type="dxa"/>
            <w:vAlign w:val="bottom"/>
          </w:tcPr>
          <w:p>
            <w:pPr>
              <w:spacing w:after="0"/>
              <w:rPr>
                <w:sz w:val="9"/>
                <w:szCs w:val="9"/>
                <w:color w:val="auto"/>
              </w:rPr>
            </w:pPr>
          </w:p>
        </w:tc>
        <w:tc>
          <w:tcPr>
            <w:tcW w:w="260" w:type="dxa"/>
            <w:vAlign w:val="bottom"/>
          </w:tcPr>
          <w:p>
            <w:pPr>
              <w:jc w:val="center"/>
              <w:ind w:left="87"/>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w w:val="87"/>
              </w:rPr>
              <w:t>*</w:t>
            </w:r>
          </w:p>
        </w:tc>
        <w:tc>
          <w:tcPr>
            <w:tcW w:w="20" w:type="dxa"/>
            <w:vAlign w:val="bottom"/>
          </w:tcPr>
          <w:p>
            <w:pPr>
              <w:spacing w:after="0"/>
              <w:rPr>
                <w:sz w:val="9"/>
                <w:szCs w:val="9"/>
                <w:color w:val="auto"/>
              </w:rPr>
            </w:pPr>
          </w:p>
        </w:tc>
        <w:tc>
          <w:tcPr>
            <w:tcW w:w="560" w:type="dxa"/>
            <w:vAlign w:val="bottom"/>
            <w:gridSpan w:val="2"/>
          </w:tcPr>
          <w:p>
            <w:pPr>
              <w:ind w:left="340"/>
              <w:spacing w:after="0"/>
              <w:rPr>
                <w:sz w:val="20"/>
                <w:szCs w:val="20"/>
                <w:color w:val="auto"/>
              </w:rPr>
            </w:pPr>
            <w:r>
              <w:rPr>
                <w:rFonts w:ascii="Times New Roman" w:cs="Times New Roman" w:eastAsia="Times New Roman" w:hAnsi="Times New Roman"/>
                <w:sz w:val="9"/>
                <w:szCs w:val="9"/>
                <w:color w:val="auto"/>
              </w:rPr>
              <w:t>— </w:t>
            </w:r>
          </w:p>
        </w:tc>
        <w:tc>
          <w:tcPr>
            <w:tcW w:w="5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— </w:t>
            </w:r>
          </w:p>
        </w:tc>
        <w:tc>
          <w:tcPr>
            <w:tcW w:w="20" w:type="dxa"/>
            <w:vAlign w:val="bottom"/>
          </w:tcPr>
          <w:p>
            <w:pPr>
              <w:spacing w:after="0"/>
              <w:rPr>
                <w:sz w:val="9"/>
                <w:szCs w:val="9"/>
                <w:color w:val="auto"/>
              </w:rPr>
            </w:pPr>
          </w:p>
        </w:tc>
        <w:tc>
          <w:tcPr>
            <w:tcW w:w="280" w:type="dxa"/>
            <w:vAlign w:val="bottom"/>
          </w:tcPr>
          <w:p>
            <w:pPr>
              <w:jc w:val="center"/>
              <w:ind w:left="110"/>
              <w:spacing w:after="0"/>
              <w:rPr>
                <w:sz w:val="20"/>
                <w:szCs w:val="20"/>
                <w:color w:val="auto"/>
              </w:rPr>
            </w:pPr>
            <w:r>
              <w:rPr>
                <w:rFonts w:ascii="Times New Roman" w:cs="Times New Roman" w:eastAsia="Times New Roman" w:hAnsi="Times New Roman"/>
                <w:sz w:val="2"/>
                <w:szCs w:val="2"/>
                <w:color w:val="auto"/>
                <w:w w:val="97"/>
              </w:rPr>
              <w:t> </w:t>
            </w:r>
          </w:p>
        </w:tc>
        <w:tc>
          <w:tcPr>
            <w:tcW w:w="200" w:type="dxa"/>
            <w:vAlign w:val="bottom"/>
          </w:tcPr>
          <w:p>
            <w:pPr>
              <w:jc w:val="right"/>
              <w:ind w:right="95"/>
              <w:spacing w:after="0"/>
              <w:rPr>
                <w:sz w:val="20"/>
                <w:szCs w:val="20"/>
                <w:color w:val="auto"/>
              </w:rPr>
            </w:pPr>
            <w:r>
              <w:rPr>
                <w:rFonts w:ascii="Times New Roman" w:cs="Times New Roman" w:eastAsia="Times New Roman" w:hAnsi="Times New Roman"/>
                <w:sz w:val="9"/>
                <w:szCs w:val="9"/>
                <w:color w:val="auto"/>
                <w:w w:val="87"/>
              </w:rPr>
              <w:t>*</w:t>
            </w:r>
          </w:p>
        </w:tc>
        <w:tc>
          <w:tcPr>
            <w:tcW w:w="340" w:type="dxa"/>
            <w:vAlign w:val="bottom"/>
          </w:tcPr>
          <w:p>
            <w:pPr>
              <w:jc w:val="center"/>
              <w:ind w:left="165"/>
              <w:spacing w:after="0"/>
              <w:rPr>
                <w:sz w:val="20"/>
                <w:szCs w:val="20"/>
                <w:color w:val="auto"/>
              </w:rPr>
            </w:pPr>
            <w:r>
              <w:rPr>
                <w:rFonts w:ascii="Times New Roman" w:cs="Times New Roman" w:eastAsia="Times New Roman" w:hAnsi="Times New Roman"/>
                <w:sz w:val="2"/>
                <w:szCs w:val="2"/>
                <w:color w:val="auto"/>
                <w:w w:val="97"/>
              </w:rPr>
              <w:t> </w:t>
            </w:r>
          </w:p>
        </w:tc>
        <w:tc>
          <w:tcPr>
            <w:tcW w:w="200" w:type="dxa"/>
            <w:vAlign w:val="bottom"/>
          </w:tcPr>
          <w:p>
            <w:pPr>
              <w:jc w:val="right"/>
              <w:ind w:right="137"/>
              <w:spacing w:after="0"/>
              <w:rPr>
                <w:sz w:val="20"/>
                <w:szCs w:val="20"/>
                <w:color w:val="auto"/>
              </w:rPr>
            </w:pPr>
            <w:r>
              <w:rPr>
                <w:rFonts w:ascii="Times New Roman" w:cs="Times New Roman" w:eastAsia="Times New Roman" w:hAnsi="Times New Roman"/>
                <w:sz w:val="5"/>
                <w:szCs w:val="5"/>
                <w:color w:val="auto"/>
                <w:w w:val="78"/>
              </w:rPr>
              <w:t>*</w:t>
            </w:r>
          </w:p>
        </w:tc>
        <w:tc>
          <w:tcPr>
            <w:tcW w:w="340" w:type="dxa"/>
            <w:vAlign w:val="bottom"/>
          </w:tcPr>
          <w:p>
            <w:pPr>
              <w:jc w:val="center"/>
              <w:ind w:left="166"/>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jc w:val="right"/>
              <w:ind w:right="117"/>
              <w:spacing w:after="0"/>
              <w:rPr>
                <w:sz w:val="20"/>
                <w:szCs w:val="20"/>
                <w:color w:val="auto"/>
              </w:rPr>
            </w:pPr>
            <w:r>
              <w:rPr>
                <w:rFonts w:ascii="Times New Roman" w:cs="Times New Roman" w:eastAsia="Times New Roman" w:hAnsi="Times New Roman"/>
                <w:sz w:val="5"/>
                <w:szCs w:val="5"/>
                <w:color w:val="auto"/>
                <w:w w:val="78"/>
              </w:rPr>
              <w:t>*</w:t>
            </w:r>
          </w:p>
        </w:tc>
        <w:tc>
          <w:tcPr>
            <w:tcW w:w="0" w:type="dxa"/>
            <w:vAlign w:val="bottom"/>
          </w:tcPr>
          <w:p>
            <w:pPr>
              <w:spacing w:after="0"/>
              <w:rPr>
                <w:sz w:val="1"/>
                <w:szCs w:val="1"/>
                <w:color w:val="auto"/>
              </w:rPr>
            </w:pPr>
          </w:p>
        </w:tc>
      </w:tr>
      <w:tr>
        <w:trPr>
          <w:trHeight w:val="97"/>
        </w:trPr>
        <w:tc>
          <w:tcPr>
            <w:tcW w:w="70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9"/>
                <w:szCs w:val="9"/>
                <w:color w:val="auto"/>
              </w:rPr>
              <w:t>Douglas P.</w:t>
            </w: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700" w:type="dxa"/>
            <w:vAlign w:val="bottom"/>
            <w:gridSpan w:val="2"/>
            <w:shd w:val="clear" w:color="auto" w:fill="CCEEFF"/>
          </w:tcPr>
          <w:p>
            <w:pPr>
              <w:ind w:left="100"/>
              <w:spacing w:after="0" w:line="111" w:lineRule="exact"/>
              <w:rPr>
                <w:sz w:val="20"/>
                <w:szCs w:val="20"/>
                <w:color w:val="auto"/>
              </w:rPr>
            </w:pPr>
            <w:r>
              <w:rPr>
                <w:rFonts w:ascii="Times New Roman" w:cs="Times New Roman" w:eastAsia="Times New Roman" w:hAnsi="Times New Roman"/>
                <w:sz w:val="8"/>
                <w:szCs w:val="8"/>
                <w:color w:val="auto"/>
              </w:rPr>
              <w:t>Golwas</w:t>
            </w:r>
            <w:r>
              <w:rPr>
                <w:rFonts w:ascii="Times New Roman" w:cs="Times New Roman" w:eastAsia="Times New Roman" w:hAnsi="Times New Roman"/>
                <w:sz w:val="12"/>
                <w:szCs w:val="12"/>
                <w:color w:val="auto"/>
                <w:vertAlign w:val="superscript"/>
              </w:rPr>
              <w:t>(14)</w:t>
            </w:r>
          </w:p>
        </w:tc>
        <w:tc>
          <w:tcPr>
            <w:tcW w:w="5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9"/>
                <w:szCs w:val="9"/>
                <w:color w:val="auto"/>
              </w:rPr>
              <w:t>— </w:t>
            </w: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jc w:val="center"/>
              <w:ind w:left="80"/>
              <w:spacing w:after="0"/>
              <w:rPr>
                <w:sz w:val="20"/>
                <w:szCs w:val="20"/>
                <w:color w:val="auto"/>
              </w:rPr>
            </w:pPr>
            <w:r>
              <w:rPr>
                <w:rFonts w:ascii="Times New Roman" w:cs="Times New Roman" w:eastAsia="Times New Roman" w:hAnsi="Times New Roman"/>
                <w:sz w:val="9"/>
                <w:szCs w:val="9"/>
                <w:color w:val="auto"/>
                <w:w w:val="73"/>
              </w:rPr>
              <w:t>— </w:t>
            </w: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9"/>
                <w:szCs w:val="9"/>
                <w:color w:val="auto"/>
              </w:rPr>
              <w:t>— </w:t>
            </w:r>
          </w:p>
        </w:tc>
        <w:tc>
          <w:tcPr>
            <w:tcW w:w="40" w:type="dxa"/>
            <w:vAlign w:val="bottom"/>
            <w:shd w:val="clear" w:color="auto" w:fill="CCEEFF"/>
          </w:tcPr>
          <w:p>
            <w:pPr>
              <w:spacing w:after="0"/>
              <w:rPr>
                <w:sz w:val="9"/>
                <w:szCs w:val="9"/>
                <w:color w:val="auto"/>
              </w:rPr>
            </w:pPr>
          </w:p>
        </w:tc>
        <w:tc>
          <w:tcPr>
            <w:tcW w:w="24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9"/>
                <w:szCs w:val="9"/>
                <w:color w:val="auto"/>
                <w:w w:val="88"/>
              </w:rPr>
              <w:t>— </w:t>
            </w: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9"/>
                <w:szCs w:val="9"/>
                <w:color w:val="auto"/>
              </w:rPr>
              <w:t>— </w:t>
            </w: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jc w:val="center"/>
              <w:ind w:left="80"/>
              <w:spacing w:after="0"/>
              <w:rPr>
                <w:sz w:val="20"/>
                <w:szCs w:val="20"/>
                <w:color w:val="auto"/>
              </w:rPr>
            </w:pPr>
            <w:r>
              <w:rPr>
                <w:rFonts w:ascii="Times New Roman" w:cs="Times New Roman" w:eastAsia="Times New Roman" w:hAnsi="Times New Roman"/>
                <w:sz w:val="9"/>
                <w:szCs w:val="9"/>
                <w:color w:val="auto"/>
                <w:w w:val="73"/>
              </w:rPr>
              <w:t>— </w:t>
            </w: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1,329,798</w:t>
            </w: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jc w:val="center"/>
              <w:ind w:left="87"/>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9"/>
                <w:szCs w:val="9"/>
                <w:color w:val="auto"/>
                <w:w w:val="87"/>
              </w:rPr>
              <w:t>*</w:t>
            </w:r>
          </w:p>
        </w:tc>
        <w:tc>
          <w:tcPr>
            <w:tcW w:w="2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1,329,798</w:t>
            </w:r>
          </w:p>
        </w:tc>
        <w:tc>
          <w:tcPr>
            <w:tcW w:w="40" w:type="dxa"/>
            <w:vAlign w:val="bottom"/>
            <w:shd w:val="clear" w:color="auto" w:fill="CCEEFF"/>
          </w:tcPr>
          <w:p>
            <w:pPr>
              <w:spacing w:after="0"/>
              <w:rPr>
                <w:sz w:val="9"/>
                <w:szCs w:val="9"/>
                <w:color w:val="auto"/>
              </w:rPr>
            </w:pPr>
          </w:p>
        </w:tc>
        <w:tc>
          <w:tcPr>
            <w:tcW w:w="260" w:type="dxa"/>
            <w:vAlign w:val="bottom"/>
            <w:shd w:val="clear" w:color="auto" w:fill="CCEEFF"/>
          </w:tcPr>
          <w:p>
            <w:pPr>
              <w:jc w:val="center"/>
              <w:ind w:left="87"/>
              <w:spacing w:after="0"/>
              <w:rPr>
                <w:sz w:val="20"/>
                <w:szCs w:val="20"/>
                <w:color w:val="auto"/>
              </w:rPr>
            </w:pPr>
            <w:r>
              <w:rPr>
                <w:rFonts w:ascii="Times New Roman" w:cs="Times New Roman" w:eastAsia="Times New Roman" w:hAnsi="Times New Roman"/>
                <w:sz w:val="2"/>
                <w:szCs w:val="2"/>
                <w:color w:val="auto"/>
                <w:w w:val="97"/>
              </w:rPr>
              <w:t> </w:t>
            </w:r>
          </w:p>
        </w:tc>
        <w:tc>
          <w:tcPr>
            <w:tcW w:w="1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5"/>
                <w:szCs w:val="5"/>
                <w:color w:val="auto"/>
                <w:w w:val="78"/>
              </w:rPr>
              <w:t>*</w:t>
            </w: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1,329,798</w:t>
            </w: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jc w:val="center"/>
              <w:ind w:left="87"/>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9"/>
                <w:szCs w:val="9"/>
                <w:color w:val="auto"/>
                <w:w w:val="87"/>
              </w:rPr>
              <w:t>*</w:t>
            </w:r>
          </w:p>
        </w:tc>
        <w:tc>
          <w:tcPr>
            <w:tcW w:w="20" w:type="dxa"/>
            <w:vAlign w:val="bottom"/>
            <w:shd w:val="clear" w:color="auto" w:fill="CCEEFF"/>
          </w:tcPr>
          <w:p>
            <w:pPr>
              <w:spacing w:after="0"/>
              <w:rPr>
                <w:sz w:val="9"/>
                <w:szCs w:val="9"/>
                <w:color w:val="auto"/>
              </w:rPr>
            </w:pPr>
          </w:p>
        </w:tc>
        <w:tc>
          <w:tcPr>
            <w:tcW w:w="5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9"/>
                <w:szCs w:val="9"/>
                <w:color w:val="auto"/>
              </w:rPr>
              <w:t>— </w:t>
            </w:r>
          </w:p>
        </w:tc>
        <w:tc>
          <w:tcPr>
            <w:tcW w:w="5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9"/>
                <w:szCs w:val="9"/>
                <w:color w:val="auto"/>
              </w:rPr>
              <w:t>— </w:t>
            </w: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2"/>
                <w:szCs w:val="2"/>
                <w:color w:val="auto"/>
                <w:w w:val="97"/>
              </w:rPr>
              <w:t> </w:t>
            </w:r>
          </w:p>
        </w:tc>
        <w:tc>
          <w:tcPr>
            <w:tcW w:w="2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9"/>
                <w:szCs w:val="9"/>
                <w:color w:val="auto"/>
                <w:w w:val="87"/>
              </w:rPr>
              <w:t>*</w:t>
            </w:r>
          </w:p>
        </w:tc>
        <w:tc>
          <w:tcPr>
            <w:tcW w:w="340" w:type="dxa"/>
            <w:vAlign w:val="bottom"/>
            <w:shd w:val="clear" w:color="auto" w:fill="CCEEFF"/>
          </w:tcPr>
          <w:p>
            <w:pPr>
              <w:jc w:val="center"/>
              <w:ind w:left="165"/>
              <w:spacing w:after="0"/>
              <w:rPr>
                <w:sz w:val="20"/>
                <w:szCs w:val="20"/>
                <w:color w:val="auto"/>
              </w:rPr>
            </w:pPr>
            <w:r>
              <w:rPr>
                <w:rFonts w:ascii="Times New Roman" w:cs="Times New Roman" w:eastAsia="Times New Roman" w:hAnsi="Times New Roman"/>
                <w:sz w:val="2"/>
                <w:szCs w:val="2"/>
                <w:color w:val="auto"/>
                <w:w w:val="97"/>
              </w:rPr>
              <w:t> </w:t>
            </w:r>
          </w:p>
        </w:tc>
        <w:tc>
          <w:tcPr>
            <w:tcW w:w="2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5"/>
                <w:szCs w:val="5"/>
                <w:color w:val="auto"/>
                <w:w w:val="78"/>
              </w:rPr>
              <w:t>*</w:t>
            </w:r>
          </w:p>
        </w:tc>
        <w:tc>
          <w:tcPr>
            <w:tcW w:w="340" w:type="dxa"/>
            <w:vAlign w:val="bottom"/>
            <w:shd w:val="clear" w:color="auto" w:fill="CCEEFF"/>
          </w:tcPr>
          <w:p>
            <w:pPr>
              <w:jc w:val="center"/>
              <w:ind w:left="166"/>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5"/>
                <w:szCs w:val="5"/>
                <w:color w:val="auto"/>
                <w:w w:val="78"/>
              </w:rPr>
              <w:t>*</w:t>
            </w:r>
          </w:p>
        </w:tc>
        <w:tc>
          <w:tcPr>
            <w:tcW w:w="0" w:type="dxa"/>
            <w:vAlign w:val="bottom"/>
          </w:tcPr>
          <w:p>
            <w:pPr>
              <w:spacing w:after="0"/>
              <w:rPr>
                <w:sz w:val="1"/>
                <w:szCs w:val="1"/>
                <w:color w:val="auto"/>
              </w:rPr>
            </w:pPr>
          </w:p>
        </w:tc>
      </w:tr>
      <w:tr>
        <w:trPr>
          <w:trHeight w:val="104"/>
        </w:trPr>
        <w:tc>
          <w:tcPr>
            <w:tcW w:w="700" w:type="dxa"/>
            <w:vAlign w:val="bottom"/>
            <w:gridSpan w:val="2"/>
          </w:tcPr>
          <w:p>
            <w:pPr>
              <w:spacing w:after="0"/>
              <w:rPr>
                <w:sz w:val="20"/>
                <w:szCs w:val="20"/>
                <w:color w:val="auto"/>
              </w:rPr>
            </w:pPr>
            <w:r>
              <w:rPr>
                <w:rFonts w:ascii="Times New Roman" w:cs="Times New Roman" w:eastAsia="Times New Roman" w:hAnsi="Times New Roman"/>
                <w:sz w:val="9"/>
                <w:szCs w:val="9"/>
                <w:color w:val="auto"/>
              </w:rPr>
              <w:t>Joseph P. Baratta</w:t>
            </w:r>
          </w:p>
        </w:tc>
        <w:tc>
          <w:tcPr>
            <w:tcW w:w="520" w:type="dxa"/>
            <w:vAlign w:val="bottom"/>
          </w:tcPr>
          <w:p>
            <w:pPr>
              <w:jc w:val="right"/>
              <w:ind w:right="15"/>
              <w:spacing w:after="0"/>
              <w:rPr>
                <w:sz w:val="20"/>
                <w:szCs w:val="20"/>
                <w:color w:val="auto"/>
              </w:rPr>
            </w:pPr>
            <w:r>
              <w:rPr>
                <w:rFonts w:ascii="Times New Roman" w:cs="Times New Roman" w:eastAsia="Times New Roman" w:hAnsi="Times New Roman"/>
                <w:sz w:val="9"/>
                <w:szCs w:val="9"/>
                <w:color w:val="auto"/>
              </w:rPr>
              <w:t>— </w:t>
            </w:r>
          </w:p>
        </w:tc>
        <w:tc>
          <w:tcPr>
            <w:tcW w:w="20" w:type="dxa"/>
            <w:vAlign w:val="bottom"/>
          </w:tcPr>
          <w:p>
            <w:pPr>
              <w:spacing w:after="0"/>
              <w:rPr>
                <w:sz w:val="9"/>
                <w:szCs w:val="9"/>
                <w:color w:val="auto"/>
              </w:rPr>
            </w:pPr>
          </w:p>
        </w:tc>
        <w:tc>
          <w:tcPr>
            <w:tcW w:w="260" w:type="dxa"/>
            <w:vAlign w:val="bottom"/>
          </w:tcPr>
          <w:p>
            <w:pPr>
              <w:jc w:val="center"/>
              <w:ind w:left="80"/>
              <w:spacing w:after="0"/>
              <w:rPr>
                <w:sz w:val="20"/>
                <w:szCs w:val="20"/>
                <w:color w:val="auto"/>
              </w:rPr>
            </w:pPr>
            <w:r>
              <w:rPr>
                <w:rFonts w:ascii="Times New Roman" w:cs="Times New Roman" w:eastAsia="Times New Roman" w:hAnsi="Times New Roman"/>
                <w:sz w:val="9"/>
                <w:szCs w:val="9"/>
                <w:color w:val="auto"/>
                <w:w w:val="73"/>
              </w:rPr>
              <w:t>— </w:t>
            </w: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jc w:val="right"/>
              <w:ind w:right="16"/>
              <w:spacing w:after="0"/>
              <w:rPr>
                <w:sz w:val="20"/>
                <w:szCs w:val="20"/>
                <w:color w:val="auto"/>
              </w:rPr>
            </w:pPr>
            <w:r>
              <w:rPr>
                <w:rFonts w:ascii="Times New Roman" w:cs="Times New Roman" w:eastAsia="Times New Roman" w:hAnsi="Times New Roman"/>
                <w:sz w:val="9"/>
                <w:szCs w:val="9"/>
                <w:color w:val="auto"/>
              </w:rPr>
              <w:t>— </w:t>
            </w:r>
          </w:p>
        </w:tc>
        <w:tc>
          <w:tcPr>
            <w:tcW w:w="40" w:type="dxa"/>
            <w:vAlign w:val="bottom"/>
          </w:tcPr>
          <w:p>
            <w:pPr>
              <w:spacing w:after="0"/>
              <w:rPr>
                <w:sz w:val="9"/>
                <w:szCs w:val="9"/>
                <w:color w:val="auto"/>
              </w:rPr>
            </w:pPr>
          </w:p>
        </w:tc>
        <w:tc>
          <w:tcPr>
            <w:tcW w:w="240" w:type="dxa"/>
            <w:vAlign w:val="bottom"/>
          </w:tcPr>
          <w:p>
            <w:pPr>
              <w:jc w:val="center"/>
              <w:ind w:left="79"/>
              <w:spacing w:after="0"/>
              <w:rPr>
                <w:sz w:val="20"/>
                <w:szCs w:val="20"/>
                <w:color w:val="auto"/>
              </w:rPr>
            </w:pPr>
            <w:r>
              <w:rPr>
                <w:rFonts w:ascii="Times New Roman" w:cs="Times New Roman" w:eastAsia="Times New Roman" w:hAnsi="Times New Roman"/>
                <w:sz w:val="9"/>
                <w:szCs w:val="9"/>
                <w:color w:val="auto"/>
                <w:w w:val="88"/>
              </w:rPr>
              <w:t>— </w:t>
            </w: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jc w:val="right"/>
              <w:ind w:right="16"/>
              <w:spacing w:after="0"/>
              <w:rPr>
                <w:sz w:val="20"/>
                <w:szCs w:val="20"/>
                <w:color w:val="auto"/>
              </w:rPr>
            </w:pPr>
            <w:r>
              <w:rPr>
                <w:rFonts w:ascii="Times New Roman" w:cs="Times New Roman" w:eastAsia="Times New Roman" w:hAnsi="Times New Roman"/>
                <w:sz w:val="9"/>
                <w:szCs w:val="9"/>
                <w:color w:val="auto"/>
              </w:rPr>
              <w:t>— </w:t>
            </w:r>
          </w:p>
        </w:tc>
        <w:tc>
          <w:tcPr>
            <w:tcW w:w="20" w:type="dxa"/>
            <w:vAlign w:val="bottom"/>
          </w:tcPr>
          <w:p>
            <w:pPr>
              <w:spacing w:after="0"/>
              <w:rPr>
                <w:sz w:val="9"/>
                <w:szCs w:val="9"/>
                <w:color w:val="auto"/>
              </w:rPr>
            </w:pPr>
          </w:p>
        </w:tc>
        <w:tc>
          <w:tcPr>
            <w:tcW w:w="260" w:type="dxa"/>
            <w:vAlign w:val="bottom"/>
          </w:tcPr>
          <w:p>
            <w:pPr>
              <w:jc w:val="center"/>
              <w:ind w:left="80"/>
              <w:spacing w:after="0"/>
              <w:rPr>
                <w:sz w:val="20"/>
                <w:szCs w:val="20"/>
                <w:color w:val="auto"/>
              </w:rPr>
            </w:pPr>
            <w:r>
              <w:rPr>
                <w:rFonts w:ascii="Times New Roman" w:cs="Times New Roman" w:eastAsia="Times New Roman" w:hAnsi="Times New Roman"/>
                <w:sz w:val="9"/>
                <w:szCs w:val="9"/>
                <w:color w:val="auto"/>
                <w:w w:val="73"/>
              </w:rPr>
              <w:t>— </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jc w:val="right"/>
              <w:ind w:right="15"/>
              <w:spacing w:after="0"/>
              <w:rPr>
                <w:sz w:val="20"/>
                <w:szCs w:val="20"/>
                <w:color w:val="auto"/>
              </w:rPr>
            </w:pPr>
            <w:r>
              <w:rPr>
                <w:rFonts w:ascii="Times New Roman" w:cs="Times New Roman" w:eastAsia="Times New Roman" w:hAnsi="Times New Roman"/>
                <w:sz w:val="9"/>
                <w:szCs w:val="9"/>
                <w:color w:val="auto"/>
              </w:rPr>
              <w:t>— </w:t>
            </w:r>
          </w:p>
        </w:tc>
        <w:tc>
          <w:tcPr>
            <w:tcW w:w="20" w:type="dxa"/>
            <w:vAlign w:val="bottom"/>
          </w:tcPr>
          <w:p>
            <w:pPr>
              <w:spacing w:after="0"/>
              <w:rPr>
                <w:sz w:val="9"/>
                <w:szCs w:val="9"/>
                <w:color w:val="auto"/>
              </w:rPr>
            </w:pPr>
          </w:p>
        </w:tc>
        <w:tc>
          <w:tcPr>
            <w:tcW w:w="260" w:type="dxa"/>
            <w:vAlign w:val="bottom"/>
          </w:tcPr>
          <w:p>
            <w:pPr>
              <w:jc w:val="center"/>
              <w:ind w:left="107"/>
              <w:spacing w:after="0"/>
              <w:rPr>
                <w:sz w:val="20"/>
                <w:szCs w:val="20"/>
                <w:color w:val="auto"/>
              </w:rPr>
            </w:pPr>
            <w:r>
              <w:rPr>
                <w:rFonts w:ascii="Times New Roman" w:cs="Times New Roman" w:eastAsia="Times New Roman" w:hAnsi="Times New Roman"/>
                <w:sz w:val="9"/>
                <w:szCs w:val="9"/>
                <w:color w:val="auto"/>
                <w:w w:val="88"/>
              </w:rPr>
              <w:t>— </w:t>
            </w: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jc w:val="right"/>
              <w:ind w:right="16"/>
              <w:spacing w:after="0"/>
              <w:rPr>
                <w:sz w:val="20"/>
                <w:szCs w:val="20"/>
                <w:color w:val="auto"/>
              </w:rPr>
            </w:pPr>
            <w:r>
              <w:rPr>
                <w:rFonts w:ascii="Times New Roman" w:cs="Times New Roman" w:eastAsia="Times New Roman" w:hAnsi="Times New Roman"/>
                <w:sz w:val="9"/>
                <w:szCs w:val="9"/>
                <w:color w:val="auto"/>
              </w:rPr>
              <w:t>— </w:t>
            </w:r>
          </w:p>
        </w:tc>
        <w:tc>
          <w:tcPr>
            <w:tcW w:w="40" w:type="dxa"/>
            <w:vAlign w:val="bottom"/>
          </w:tcPr>
          <w:p>
            <w:pPr>
              <w:spacing w:after="0"/>
              <w:rPr>
                <w:sz w:val="9"/>
                <w:szCs w:val="9"/>
                <w:color w:val="auto"/>
              </w:rPr>
            </w:pPr>
          </w:p>
        </w:tc>
        <w:tc>
          <w:tcPr>
            <w:tcW w:w="260" w:type="dxa"/>
            <w:vAlign w:val="bottom"/>
          </w:tcPr>
          <w:p>
            <w:pPr>
              <w:jc w:val="center"/>
              <w:ind w:left="67"/>
              <w:spacing w:after="0"/>
              <w:rPr>
                <w:sz w:val="20"/>
                <w:szCs w:val="20"/>
                <w:color w:val="auto"/>
              </w:rPr>
            </w:pPr>
            <w:r>
              <w:rPr>
                <w:rFonts w:ascii="Times New Roman" w:cs="Times New Roman" w:eastAsia="Times New Roman" w:hAnsi="Times New Roman"/>
                <w:sz w:val="9"/>
                <w:szCs w:val="9"/>
                <w:color w:val="auto"/>
                <w:w w:val="88"/>
              </w:rPr>
              <w:t>— </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jc w:val="right"/>
              <w:ind w:right="16"/>
              <w:spacing w:after="0"/>
              <w:rPr>
                <w:sz w:val="20"/>
                <w:szCs w:val="20"/>
                <w:color w:val="auto"/>
              </w:rPr>
            </w:pPr>
            <w:r>
              <w:rPr>
                <w:rFonts w:ascii="Times New Roman" w:cs="Times New Roman" w:eastAsia="Times New Roman" w:hAnsi="Times New Roman"/>
                <w:sz w:val="9"/>
                <w:szCs w:val="9"/>
                <w:color w:val="auto"/>
              </w:rPr>
              <w:t>— </w:t>
            </w:r>
          </w:p>
        </w:tc>
        <w:tc>
          <w:tcPr>
            <w:tcW w:w="20" w:type="dxa"/>
            <w:vAlign w:val="bottom"/>
          </w:tcPr>
          <w:p>
            <w:pPr>
              <w:spacing w:after="0"/>
              <w:rPr>
                <w:sz w:val="9"/>
                <w:szCs w:val="9"/>
                <w:color w:val="auto"/>
              </w:rPr>
            </w:pPr>
          </w:p>
        </w:tc>
        <w:tc>
          <w:tcPr>
            <w:tcW w:w="260" w:type="dxa"/>
            <w:vAlign w:val="bottom"/>
          </w:tcPr>
          <w:p>
            <w:pPr>
              <w:jc w:val="center"/>
              <w:ind w:left="87"/>
              <w:spacing w:after="0"/>
              <w:rPr>
                <w:sz w:val="20"/>
                <w:szCs w:val="20"/>
                <w:color w:val="auto"/>
              </w:rPr>
            </w:pPr>
            <w:r>
              <w:rPr>
                <w:rFonts w:ascii="Times New Roman" w:cs="Times New Roman" w:eastAsia="Times New Roman" w:hAnsi="Times New Roman"/>
                <w:sz w:val="9"/>
                <w:szCs w:val="9"/>
                <w:color w:val="auto"/>
                <w:w w:val="73"/>
              </w:rPr>
              <w:t>— </w:t>
            </w: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gridSpan w:val="2"/>
          </w:tcPr>
          <w:p>
            <w:pPr>
              <w:ind w:left="340"/>
              <w:spacing w:after="0"/>
              <w:rPr>
                <w:sz w:val="20"/>
                <w:szCs w:val="20"/>
                <w:color w:val="auto"/>
              </w:rPr>
            </w:pPr>
            <w:r>
              <w:rPr>
                <w:rFonts w:ascii="Times New Roman" w:cs="Times New Roman" w:eastAsia="Times New Roman" w:hAnsi="Times New Roman"/>
                <w:sz w:val="9"/>
                <w:szCs w:val="9"/>
                <w:color w:val="auto"/>
              </w:rPr>
              <w:t>— </w:t>
            </w:r>
          </w:p>
        </w:tc>
        <w:tc>
          <w:tcPr>
            <w:tcW w:w="5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— </w:t>
            </w:r>
          </w:p>
        </w:tc>
        <w:tc>
          <w:tcPr>
            <w:tcW w:w="20" w:type="dxa"/>
            <w:vAlign w:val="bottom"/>
          </w:tcPr>
          <w:p>
            <w:pPr>
              <w:spacing w:after="0"/>
              <w:rPr>
                <w:sz w:val="9"/>
                <w:szCs w:val="9"/>
                <w:color w:val="auto"/>
              </w:rPr>
            </w:pPr>
          </w:p>
        </w:tc>
        <w:tc>
          <w:tcPr>
            <w:tcW w:w="280" w:type="dxa"/>
            <w:vAlign w:val="bottom"/>
          </w:tcPr>
          <w:p>
            <w:pPr>
              <w:jc w:val="center"/>
              <w:ind w:left="130"/>
              <w:spacing w:after="0"/>
              <w:rPr>
                <w:sz w:val="20"/>
                <w:szCs w:val="20"/>
                <w:color w:val="auto"/>
              </w:rPr>
            </w:pPr>
            <w:r>
              <w:rPr>
                <w:rFonts w:ascii="Times New Roman" w:cs="Times New Roman" w:eastAsia="Times New Roman" w:hAnsi="Times New Roman"/>
                <w:sz w:val="9"/>
                <w:szCs w:val="9"/>
                <w:color w:val="auto"/>
                <w:w w:val="88"/>
              </w:rPr>
              <w:t>— </w:t>
            </w:r>
          </w:p>
        </w:tc>
        <w:tc>
          <w:tcPr>
            <w:tcW w:w="200" w:type="dxa"/>
            <w:vAlign w:val="bottom"/>
          </w:tcPr>
          <w:p>
            <w:pPr>
              <w:spacing w:after="0"/>
              <w:rPr>
                <w:sz w:val="9"/>
                <w:szCs w:val="9"/>
                <w:color w:val="auto"/>
              </w:rPr>
            </w:pPr>
          </w:p>
        </w:tc>
        <w:tc>
          <w:tcPr>
            <w:tcW w:w="340" w:type="dxa"/>
            <w:vAlign w:val="bottom"/>
          </w:tcPr>
          <w:p>
            <w:pPr>
              <w:jc w:val="center"/>
              <w:ind w:left="145"/>
              <w:spacing w:after="0"/>
              <w:rPr>
                <w:sz w:val="20"/>
                <w:szCs w:val="20"/>
                <w:color w:val="auto"/>
              </w:rPr>
            </w:pPr>
            <w:r>
              <w:rPr>
                <w:rFonts w:ascii="Times New Roman" w:cs="Times New Roman" w:eastAsia="Times New Roman" w:hAnsi="Times New Roman"/>
                <w:sz w:val="9"/>
                <w:szCs w:val="9"/>
                <w:color w:val="auto"/>
                <w:w w:val="88"/>
              </w:rPr>
              <w:t>— </w:t>
            </w:r>
          </w:p>
        </w:tc>
        <w:tc>
          <w:tcPr>
            <w:tcW w:w="200" w:type="dxa"/>
            <w:vAlign w:val="bottom"/>
          </w:tcPr>
          <w:p>
            <w:pPr>
              <w:spacing w:after="0"/>
              <w:rPr>
                <w:sz w:val="9"/>
                <w:szCs w:val="9"/>
                <w:color w:val="auto"/>
              </w:rPr>
            </w:pPr>
          </w:p>
        </w:tc>
        <w:tc>
          <w:tcPr>
            <w:tcW w:w="340" w:type="dxa"/>
            <w:vAlign w:val="bottom"/>
          </w:tcPr>
          <w:p>
            <w:pPr>
              <w:jc w:val="center"/>
              <w:ind w:left="146"/>
              <w:spacing w:after="0"/>
              <w:rPr>
                <w:sz w:val="20"/>
                <w:szCs w:val="20"/>
                <w:color w:val="auto"/>
              </w:rPr>
            </w:pPr>
            <w:r>
              <w:rPr>
                <w:rFonts w:ascii="Times New Roman" w:cs="Times New Roman" w:eastAsia="Times New Roman" w:hAnsi="Times New Roman"/>
                <w:sz w:val="9"/>
                <w:szCs w:val="9"/>
                <w:color w:val="auto"/>
                <w:w w:val="88"/>
              </w:rPr>
              <w:t>— </w:t>
            </w: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9"/>
                <w:szCs w:val="9"/>
                <w:color w:val="auto"/>
              </w:rPr>
              <w:t>Jacob D. Best</w:t>
            </w:r>
          </w:p>
        </w:tc>
        <w:tc>
          <w:tcPr>
            <w:tcW w:w="5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9"/>
                <w:szCs w:val="9"/>
                <w:color w:val="auto"/>
              </w:rPr>
              <w:t>— </w:t>
            </w: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jc w:val="center"/>
              <w:ind w:left="80"/>
              <w:spacing w:after="0"/>
              <w:rPr>
                <w:sz w:val="20"/>
                <w:szCs w:val="20"/>
                <w:color w:val="auto"/>
              </w:rPr>
            </w:pPr>
            <w:r>
              <w:rPr>
                <w:rFonts w:ascii="Times New Roman" w:cs="Times New Roman" w:eastAsia="Times New Roman" w:hAnsi="Times New Roman"/>
                <w:sz w:val="9"/>
                <w:szCs w:val="9"/>
                <w:color w:val="auto"/>
                <w:w w:val="73"/>
              </w:rPr>
              <w:t>— </w:t>
            </w: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9"/>
                <w:szCs w:val="9"/>
                <w:color w:val="auto"/>
              </w:rPr>
              <w:t>— </w:t>
            </w:r>
          </w:p>
        </w:tc>
        <w:tc>
          <w:tcPr>
            <w:tcW w:w="40" w:type="dxa"/>
            <w:vAlign w:val="bottom"/>
            <w:shd w:val="clear" w:color="auto" w:fill="CCEEFF"/>
          </w:tcPr>
          <w:p>
            <w:pPr>
              <w:spacing w:after="0"/>
              <w:rPr>
                <w:sz w:val="9"/>
                <w:szCs w:val="9"/>
                <w:color w:val="auto"/>
              </w:rPr>
            </w:pPr>
          </w:p>
        </w:tc>
        <w:tc>
          <w:tcPr>
            <w:tcW w:w="24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9"/>
                <w:szCs w:val="9"/>
                <w:color w:val="auto"/>
                <w:w w:val="88"/>
              </w:rPr>
              <w:t>— </w:t>
            </w: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9"/>
                <w:szCs w:val="9"/>
                <w:color w:val="auto"/>
              </w:rPr>
              <w:t>— </w:t>
            </w: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jc w:val="center"/>
              <w:ind w:left="80"/>
              <w:spacing w:after="0"/>
              <w:rPr>
                <w:sz w:val="20"/>
                <w:szCs w:val="20"/>
                <w:color w:val="auto"/>
              </w:rPr>
            </w:pPr>
            <w:r>
              <w:rPr>
                <w:rFonts w:ascii="Times New Roman" w:cs="Times New Roman" w:eastAsia="Times New Roman" w:hAnsi="Times New Roman"/>
                <w:sz w:val="9"/>
                <w:szCs w:val="9"/>
                <w:color w:val="auto"/>
                <w:w w:val="73"/>
              </w:rPr>
              <w:t>— </w:t>
            </w: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9"/>
                <w:szCs w:val="9"/>
                <w:color w:val="auto"/>
              </w:rPr>
              <w:t>— </w:t>
            </w: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jc w:val="center"/>
              <w:ind w:left="107"/>
              <w:spacing w:after="0"/>
              <w:rPr>
                <w:sz w:val="20"/>
                <w:szCs w:val="20"/>
                <w:color w:val="auto"/>
              </w:rPr>
            </w:pPr>
            <w:r>
              <w:rPr>
                <w:rFonts w:ascii="Times New Roman" w:cs="Times New Roman" w:eastAsia="Times New Roman" w:hAnsi="Times New Roman"/>
                <w:sz w:val="9"/>
                <w:szCs w:val="9"/>
                <w:color w:val="auto"/>
                <w:w w:val="88"/>
              </w:rPr>
              <w:t>— </w:t>
            </w: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9"/>
                <w:szCs w:val="9"/>
                <w:color w:val="auto"/>
              </w:rPr>
              <w:t>— </w:t>
            </w:r>
          </w:p>
        </w:tc>
        <w:tc>
          <w:tcPr>
            <w:tcW w:w="40" w:type="dxa"/>
            <w:vAlign w:val="bottom"/>
            <w:shd w:val="clear" w:color="auto" w:fill="CCEEFF"/>
          </w:tcPr>
          <w:p>
            <w:pPr>
              <w:spacing w:after="0"/>
              <w:rPr>
                <w:sz w:val="9"/>
                <w:szCs w:val="9"/>
                <w:color w:val="auto"/>
              </w:rPr>
            </w:pPr>
          </w:p>
        </w:tc>
        <w:tc>
          <w:tcPr>
            <w:tcW w:w="260" w:type="dxa"/>
            <w:vAlign w:val="bottom"/>
            <w:shd w:val="clear" w:color="auto" w:fill="CCEEFF"/>
          </w:tcPr>
          <w:p>
            <w:pPr>
              <w:jc w:val="center"/>
              <w:ind w:left="67"/>
              <w:spacing w:after="0"/>
              <w:rPr>
                <w:sz w:val="20"/>
                <w:szCs w:val="20"/>
                <w:color w:val="auto"/>
              </w:rPr>
            </w:pPr>
            <w:r>
              <w:rPr>
                <w:rFonts w:ascii="Times New Roman" w:cs="Times New Roman" w:eastAsia="Times New Roman" w:hAnsi="Times New Roman"/>
                <w:sz w:val="9"/>
                <w:szCs w:val="9"/>
                <w:color w:val="auto"/>
                <w:w w:val="88"/>
              </w:rPr>
              <w:t>— </w:t>
            </w: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9"/>
                <w:szCs w:val="9"/>
                <w:color w:val="auto"/>
              </w:rPr>
              <w:t>— </w:t>
            </w: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jc w:val="center"/>
              <w:ind w:left="87"/>
              <w:spacing w:after="0"/>
              <w:rPr>
                <w:sz w:val="20"/>
                <w:szCs w:val="20"/>
                <w:color w:val="auto"/>
              </w:rPr>
            </w:pPr>
            <w:r>
              <w:rPr>
                <w:rFonts w:ascii="Times New Roman" w:cs="Times New Roman" w:eastAsia="Times New Roman" w:hAnsi="Times New Roman"/>
                <w:sz w:val="9"/>
                <w:szCs w:val="9"/>
                <w:color w:val="auto"/>
                <w:w w:val="73"/>
              </w:rPr>
              <w:t>— </w:t>
            </w: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9"/>
                <w:szCs w:val="9"/>
                <w:color w:val="auto"/>
              </w:rPr>
              <w:t>— </w:t>
            </w:r>
          </w:p>
        </w:tc>
        <w:tc>
          <w:tcPr>
            <w:tcW w:w="5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9"/>
                <w:szCs w:val="9"/>
                <w:color w:val="auto"/>
              </w:rPr>
              <w:t>— </w:t>
            </w: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9"/>
                <w:szCs w:val="9"/>
                <w:color w:val="auto"/>
                <w:w w:val="88"/>
              </w:rPr>
              <w:t>— </w:t>
            </w:r>
          </w:p>
        </w:tc>
        <w:tc>
          <w:tcPr>
            <w:tcW w:w="200" w:type="dxa"/>
            <w:vAlign w:val="bottom"/>
            <w:shd w:val="clear" w:color="auto" w:fill="CCEEFF"/>
          </w:tcPr>
          <w:p>
            <w:pPr>
              <w:spacing w:after="0"/>
              <w:rPr>
                <w:sz w:val="9"/>
                <w:szCs w:val="9"/>
                <w:color w:val="auto"/>
              </w:rPr>
            </w:pPr>
          </w:p>
        </w:tc>
        <w:tc>
          <w:tcPr>
            <w:tcW w:w="340" w:type="dxa"/>
            <w:vAlign w:val="bottom"/>
            <w:shd w:val="clear" w:color="auto" w:fill="CCEEFF"/>
          </w:tcPr>
          <w:p>
            <w:pPr>
              <w:jc w:val="center"/>
              <w:ind w:left="145"/>
              <w:spacing w:after="0"/>
              <w:rPr>
                <w:sz w:val="20"/>
                <w:szCs w:val="20"/>
                <w:color w:val="auto"/>
              </w:rPr>
            </w:pPr>
            <w:r>
              <w:rPr>
                <w:rFonts w:ascii="Times New Roman" w:cs="Times New Roman" w:eastAsia="Times New Roman" w:hAnsi="Times New Roman"/>
                <w:sz w:val="9"/>
                <w:szCs w:val="9"/>
                <w:color w:val="auto"/>
                <w:w w:val="88"/>
              </w:rPr>
              <w:t>— </w:t>
            </w:r>
          </w:p>
        </w:tc>
        <w:tc>
          <w:tcPr>
            <w:tcW w:w="200" w:type="dxa"/>
            <w:vAlign w:val="bottom"/>
            <w:shd w:val="clear" w:color="auto" w:fill="CCEEFF"/>
          </w:tcPr>
          <w:p>
            <w:pPr>
              <w:spacing w:after="0"/>
              <w:rPr>
                <w:sz w:val="9"/>
                <w:szCs w:val="9"/>
                <w:color w:val="auto"/>
              </w:rPr>
            </w:pPr>
          </w:p>
        </w:tc>
        <w:tc>
          <w:tcPr>
            <w:tcW w:w="340" w:type="dxa"/>
            <w:vAlign w:val="bottom"/>
            <w:shd w:val="clear" w:color="auto" w:fill="CCEEFF"/>
          </w:tcPr>
          <w:p>
            <w:pPr>
              <w:jc w:val="center"/>
              <w:ind w:left="146"/>
              <w:spacing w:after="0"/>
              <w:rPr>
                <w:sz w:val="20"/>
                <w:szCs w:val="20"/>
                <w:color w:val="auto"/>
              </w:rPr>
            </w:pPr>
            <w:r>
              <w:rPr>
                <w:rFonts w:ascii="Times New Roman" w:cs="Times New Roman" w:eastAsia="Times New Roman" w:hAnsi="Times New Roman"/>
                <w:sz w:val="9"/>
                <w:szCs w:val="9"/>
                <w:color w:val="auto"/>
                <w:w w:val="88"/>
              </w:rPr>
              <w:t>— </w:t>
            </w:r>
          </w:p>
        </w:tc>
        <w:tc>
          <w:tcPr>
            <w:tcW w:w="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700" w:type="dxa"/>
            <w:vAlign w:val="bottom"/>
            <w:gridSpan w:val="2"/>
          </w:tcPr>
          <w:p>
            <w:pPr>
              <w:spacing w:after="0" w:line="97" w:lineRule="exact"/>
              <w:rPr>
                <w:sz w:val="20"/>
                <w:szCs w:val="20"/>
                <w:color w:val="auto"/>
              </w:rPr>
            </w:pPr>
            <w:r>
              <w:rPr>
                <w:rFonts w:ascii="Times New Roman" w:cs="Times New Roman" w:eastAsia="Times New Roman" w:hAnsi="Times New Roman"/>
                <w:sz w:val="9"/>
                <w:szCs w:val="9"/>
                <w:color w:val="auto"/>
              </w:rPr>
              <w:t>Todd M.</w:t>
            </w: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700" w:type="dxa"/>
            <w:vAlign w:val="bottom"/>
            <w:gridSpan w:val="2"/>
          </w:tcPr>
          <w:p>
            <w:pPr>
              <w:ind w:left="100"/>
              <w:spacing w:after="0"/>
              <w:rPr>
                <w:sz w:val="20"/>
                <w:szCs w:val="20"/>
                <w:color w:val="auto"/>
              </w:rPr>
            </w:pPr>
            <w:r>
              <w:rPr>
                <w:rFonts w:ascii="Times New Roman" w:cs="Times New Roman" w:eastAsia="Times New Roman" w:hAnsi="Times New Roman"/>
                <w:sz w:val="9"/>
                <w:szCs w:val="9"/>
                <w:color w:val="auto"/>
              </w:rPr>
              <w:t>Bluedorn</w:t>
            </w:r>
          </w:p>
        </w:tc>
        <w:tc>
          <w:tcPr>
            <w:tcW w:w="520" w:type="dxa"/>
            <w:vAlign w:val="bottom"/>
          </w:tcPr>
          <w:p>
            <w:pPr>
              <w:jc w:val="right"/>
              <w:ind w:right="15"/>
              <w:spacing w:after="0"/>
              <w:rPr>
                <w:sz w:val="20"/>
                <w:szCs w:val="20"/>
                <w:color w:val="auto"/>
              </w:rPr>
            </w:pPr>
            <w:r>
              <w:rPr>
                <w:rFonts w:ascii="Times New Roman" w:cs="Times New Roman" w:eastAsia="Times New Roman" w:hAnsi="Times New Roman"/>
                <w:sz w:val="9"/>
                <w:szCs w:val="9"/>
                <w:color w:val="auto"/>
              </w:rPr>
              <w:t>— </w:t>
            </w:r>
          </w:p>
        </w:tc>
        <w:tc>
          <w:tcPr>
            <w:tcW w:w="20" w:type="dxa"/>
            <w:vAlign w:val="bottom"/>
          </w:tcPr>
          <w:p>
            <w:pPr>
              <w:spacing w:after="0"/>
              <w:rPr>
                <w:sz w:val="9"/>
                <w:szCs w:val="9"/>
                <w:color w:val="auto"/>
              </w:rPr>
            </w:pPr>
          </w:p>
        </w:tc>
        <w:tc>
          <w:tcPr>
            <w:tcW w:w="260" w:type="dxa"/>
            <w:vAlign w:val="bottom"/>
          </w:tcPr>
          <w:p>
            <w:pPr>
              <w:jc w:val="center"/>
              <w:ind w:left="80"/>
              <w:spacing w:after="0"/>
              <w:rPr>
                <w:sz w:val="20"/>
                <w:szCs w:val="20"/>
                <w:color w:val="auto"/>
              </w:rPr>
            </w:pPr>
            <w:r>
              <w:rPr>
                <w:rFonts w:ascii="Times New Roman" w:cs="Times New Roman" w:eastAsia="Times New Roman" w:hAnsi="Times New Roman"/>
                <w:sz w:val="9"/>
                <w:szCs w:val="9"/>
                <w:color w:val="auto"/>
                <w:w w:val="73"/>
              </w:rPr>
              <w:t>— </w:t>
            </w: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jc w:val="right"/>
              <w:ind w:right="16"/>
              <w:spacing w:after="0"/>
              <w:rPr>
                <w:sz w:val="20"/>
                <w:szCs w:val="20"/>
                <w:color w:val="auto"/>
              </w:rPr>
            </w:pPr>
            <w:r>
              <w:rPr>
                <w:rFonts w:ascii="Times New Roman" w:cs="Times New Roman" w:eastAsia="Times New Roman" w:hAnsi="Times New Roman"/>
                <w:sz w:val="9"/>
                <w:szCs w:val="9"/>
                <w:color w:val="auto"/>
              </w:rPr>
              <w:t>— </w:t>
            </w:r>
          </w:p>
        </w:tc>
        <w:tc>
          <w:tcPr>
            <w:tcW w:w="40" w:type="dxa"/>
            <w:vAlign w:val="bottom"/>
          </w:tcPr>
          <w:p>
            <w:pPr>
              <w:spacing w:after="0"/>
              <w:rPr>
                <w:sz w:val="9"/>
                <w:szCs w:val="9"/>
                <w:color w:val="auto"/>
              </w:rPr>
            </w:pPr>
          </w:p>
        </w:tc>
        <w:tc>
          <w:tcPr>
            <w:tcW w:w="240" w:type="dxa"/>
            <w:vAlign w:val="bottom"/>
          </w:tcPr>
          <w:p>
            <w:pPr>
              <w:jc w:val="center"/>
              <w:ind w:left="79"/>
              <w:spacing w:after="0"/>
              <w:rPr>
                <w:sz w:val="20"/>
                <w:szCs w:val="20"/>
                <w:color w:val="auto"/>
              </w:rPr>
            </w:pPr>
            <w:r>
              <w:rPr>
                <w:rFonts w:ascii="Times New Roman" w:cs="Times New Roman" w:eastAsia="Times New Roman" w:hAnsi="Times New Roman"/>
                <w:sz w:val="9"/>
                <w:szCs w:val="9"/>
                <w:color w:val="auto"/>
                <w:w w:val="88"/>
              </w:rPr>
              <w:t>— </w:t>
            </w: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jc w:val="right"/>
              <w:ind w:right="16"/>
              <w:spacing w:after="0"/>
              <w:rPr>
                <w:sz w:val="20"/>
                <w:szCs w:val="20"/>
                <w:color w:val="auto"/>
              </w:rPr>
            </w:pPr>
            <w:r>
              <w:rPr>
                <w:rFonts w:ascii="Times New Roman" w:cs="Times New Roman" w:eastAsia="Times New Roman" w:hAnsi="Times New Roman"/>
                <w:sz w:val="9"/>
                <w:szCs w:val="9"/>
                <w:color w:val="auto"/>
              </w:rPr>
              <w:t>— </w:t>
            </w:r>
          </w:p>
        </w:tc>
        <w:tc>
          <w:tcPr>
            <w:tcW w:w="20" w:type="dxa"/>
            <w:vAlign w:val="bottom"/>
          </w:tcPr>
          <w:p>
            <w:pPr>
              <w:spacing w:after="0"/>
              <w:rPr>
                <w:sz w:val="9"/>
                <w:szCs w:val="9"/>
                <w:color w:val="auto"/>
              </w:rPr>
            </w:pPr>
          </w:p>
        </w:tc>
        <w:tc>
          <w:tcPr>
            <w:tcW w:w="260" w:type="dxa"/>
            <w:vAlign w:val="bottom"/>
          </w:tcPr>
          <w:p>
            <w:pPr>
              <w:jc w:val="center"/>
              <w:ind w:left="80"/>
              <w:spacing w:after="0"/>
              <w:rPr>
                <w:sz w:val="20"/>
                <w:szCs w:val="20"/>
                <w:color w:val="auto"/>
              </w:rPr>
            </w:pPr>
            <w:r>
              <w:rPr>
                <w:rFonts w:ascii="Times New Roman" w:cs="Times New Roman" w:eastAsia="Times New Roman" w:hAnsi="Times New Roman"/>
                <w:sz w:val="9"/>
                <w:szCs w:val="9"/>
                <w:color w:val="auto"/>
                <w:w w:val="73"/>
              </w:rPr>
              <w:t>— </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jc w:val="right"/>
              <w:ind w:right="15"/>
              <w:spacing w:after="0"/>
              <w:rPr>
                <w:sz w:val="20"/>
                <w:szCs w:val="20"/>
                <w:color w:val="auto"/>
              </w:rPr>
            </w:pPr>
            <w:r>
              <w:rPr>
                <w:rFonts w:ascii="Times New Roman" w:cs="Times New Roman" w:eastAsia="Times New Roman" w:hAnsi="Times New Roman"/>
                <w:sz w:val="9"/>
                <w:szCs w:val="9"/>
                <w:color w:val="auto"/>
              </w:rPr>
              <w:t>— </w:t>
            </w:r>
          </w:p>
        </w:tc>
        <w:tc>
          <w:tcPr>
            <w:tcW w:w="20" w:type="dxa"/>
            <w:vAlign w:val="bottom"/>
          </w:tcPr>
          <w:p>
            <w:pPr>
              <w:spacing w:after="0"/>
              <w:rPr>
                <w:sz w:val="9"/>
                <w:szCs w:val="9"/>
                <w:color w:val="auto"/>
              </w:rPr>
            </w:pPr>
          </w:p>
        </w:tc>
        <w:tc>
          <w:tcPr>
            <w:tcW w:w="260" w:type="dxa"/>
            <w:vAlign w:val="bottom"/>
          </w:tcPr>
          <w:p>
            <w:pPr>
              <w:jc w:val="center"/>
              <w:ind w:left="107"/>
              <w:spacing w:after="0"/>
              <w:rPr>
                <w:sz w:val="20"/>
                <w:szCs w:val="20"/>
                <w:color w:val="auto"/>
              </w:rPr>
            </w:pPr>
            <w:r>
              <w:rPr>
                <w:rFonts w:ascii="Times New Roman" w:cs="Times New Roman" w:eastAsia="Times New Roman" w:hAnsi="Times New Roman"/>
                <w:sz w:val="9"/>
                <w:szCs w:val="9"/>
                <w:color w:val="auto"/>
                <w:w w:val="88"/>
              </w:rPr>
              <w:t>— </w:t>
            </w: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jc w:val="right"/>
              <w:ind w:right="16"/>
              <w:spacing w:after="0"/>
              <w:rPr>
                <w:sz w:val="20"/>
                <w:szCs w:val="20"/>
                <w:color w:val="auto"/>
              </w:rPr>
            </w:pPr>
            <w:r>
              <w:rPr>
                <w:rFonts w:ascii="Times New Roman" w:cs="Times New Roman" w:eastAsia="Times New Roman" w:hAnsi="Times New Roman"/>
                <w:sz w:val="9"/>
                <w:szCs w:val="9"/>
                <w:color w:val="auto"/>
              </w:rPr>
              <w:t>— </w:t>
            </w:r>
          </w:p>
        </w:tc>
        <w:tc>
          <w:tcPr>
            <w:tcW w:w="40" w:type="dxa"/>
            <w:vAlign w:val="bottom"/>
          </w:tcPr>
          <w:p>
            <w:pPr>
              <w:spacing w:after="0"/>
              <w:rPr>
                <w:sz w:val="9"/>
                <w:szCs w:val="9"/>
                <w:color w:val="auto"/>
              </w:rPr>
            </w:pPr>
          </w:p>
        </w:tc>
        <w:tc>
          <w:tcPr>
            <w:tcW w:w="260" w:type="dxa"/>
            <w:vAlign w:val="bottom"/>
          </w:tcPr>
          <w:p>
            <w:pPr>
              <w:jc w:val="center"/>
              <w:ind w:left="67"/>
              <w:spacing w:after="0"/>
              <w:rPr>
                <w:sz w:val="20"/>
                <w:szCs w:val="20"/>
                <w:color w:val="auto"/>
              </w:rPr>
            </w:pPr>
            <w:r>
              <w:rPr>
                <w:rFonts w:ascii="Times New Roman" w:cs="Times New Roman" w:eastAsia="Times New Roman" w:hAnsi="Times New Roman"/>
                <w:sz w:val="9"/>
                <w:szCs w:val="9"/>
                <w:color w:val="auto"/>
                <w:w w:val="88"/>
              </w:rPr>
              <w:t>— </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jc w:val="right"/>
              <w:ind w:right="16"/>
              <w:spacing w:after="0"/>
              <w:rPr>
                <w:sz w:val="20"/>
                <w:szCs w:val="20"/>
                <w:color w:val="auto"/>
              </w:rPr>
            </w:pPr>
            <w:r>
              <w:rPr>
                <w:rFonts w:ascii="Times New Roman" w:cs="Times New Roman" w:eastAsia="Times New Roman" w:hAnsi="Times New Roman"/>
                <w:sz w:val="9"/>
                <w:szCs w:val="9"/>
                <w:color w:val="auto"/>
              </w:rPr>
              <w:t>— </w:t>
            </w:r>
          </w:p>
        </w:tc>
        <w:tc>
          <w:tcPr>
            <w:tcW w:w="20" w:type="dxa"/>
            <w:vAlign w:val="bottom"/>
          </w:tcPr>
          <w:p>
            <w:pPr>
              <w:spacing w:after="0"/>
              <w:rPr>
                <w:sz w:val="9"/>
                <w:szCs w:val="9"/>
                <w:color w:val="auto"/>
              </w:rPr>
            </w:pPr>
          </w:p>
        </w:tc>
        <w:tc>
          <w:tcPr>
            <w:tcW w:w="260" w:type="dxa"/>
            <w:vAlign w:val="bottom"/>
          </w:tcPr>
          <w:p>
            <w:pPr>
              <w:jc w:val="center"/>
              <w:ind w:left="87"/>
              <w:spacing w:after="0"/>
              <w:rPr>
                <w:sz w:val="20"/>
                <w:szCs w:val="20"/>
                <w:color w:val="auto"/>
              </w:rPr>
            </w:pPr>
            <w:r>
              <w:rPr>
                <w:rFonts w:ascii="Times New Roman" w:cs="Times New Roman" w:eastAsia="Times New Roman" w:hAnsi="Times New Roman"/>
                <w:sz w:val="9"/>
                <w:szCs w:val="9"/>
                <w:color w:val="auto"/>
                <w:w w:val="73"/>
              </w:rPr>
              <w:t>— </w:t>
            </w: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gridSpan w:val="2"/>
          </w:tcPr>
          <w:p>
            <w:pPr>
              <w:ind w:left="340"/>
              <w:spacing w:after="0"/>
              <w:rPr>
                <w:sz w:val="20"/>
                <w:szCs w:val="20"/>
                <w:color w:val="auto"/>
              </w:rPr>
            </w:pPr>
            <w:r>
              <w:rPr>
                <w:rFonts w:ascii="Times New Roman" w:cs="Times New Roman" w:eastAsia="Times New Roman" w:hAnsi="Times New Roman"/>
                <w:sz w:val="9"/>
                <w:szCs w:val="9"/>
                <w:color w:val="auto"/>
              </w:rPr>
              <w:t>— </w:t>
            </w:r>
          </w:p>
        </w:tc>
        <w:tc>
          <w:tcPr>
            <w:tcW w:w="5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— </w:t>
            </w:r>
          </w:p>
        </w:tc>
        <w:tc>
          <w:tcPr>
            <w:tcW w:w="20" w:type="dxa"/>
            <w:vAlign w:val="bottom"/>
          </w:tcPr>
          <w:p>
            <w:pPr>
              <w:spacing w:after="0"/>
              <w:rPr>
                <w:sz w:val="9"/>
                <w:szCs w:val="9"/>
                <w:color w:val="auto"/>
              </w:rPr>
            </w:pPr>
          </w:p>
        </w:tc>
        <w:tc>
          <w:tcPr>
            <w:tcW w:w="280" w:type="dxa"/>
            <w:vAlign w:val="bottom"/>
          </w:tcPr>
          <w:p>
            <w:pPr>
              <w:jc w:val="center"/>
              <w:ind w:left="130"/>
              <w:spacing w:after="0"/>
              <w:rPr>
                <w:sz w:val="20"/>
                <w:szCs w:val="20"/>
                <w:color w:val="auto"/>
              </w:rPr>
            </w:pPr>
            <w:r>
              <w:rPr>
                <w:rFonts w:ascii="Times New Roman" w:cs="Times New Roman" w:eastAsia="Times New Roman" w:hAnsi="Times New Roman"/>
                <w:sz w:val="9"/>
                <w:szCs w:val="9"/>
                <w:color w:val="auto"/>
                <w:w w:val="88"/>
              </w:rPr>
              <w:t>— </w:t>
            </w:r>
          </w:p>
        </w:tc>
        <w:tc>
          <w:tcPr>
            <w:tcW w:w="200" w:type="dxa"/>
            <w:vAlign w:val="bottom"/>
          </w:tcPr>
          <w:p>
            <w:pPr>
              <w:spacing w:after="0"/>
              <w:rPr>
                <w:sz w:val="9"/>
                <w:szCs w:val="9"/>
                <w:color w:val="auto"/>
              </w:rPr>
            </w:pPr>
          </w:p>
        </w:tc>
        <w:tc>
          <w:tcPr>
            <w:tcW w:w="340" w:type="dxa"/>
            <w:vAlign w:val="bottom"/>
          </w:tcPr>
          <w:p>
            <w:pPr>
              <w:jc w:val="center"/>
              <w:ind w:left="145"/>
              <w:spacing w:after="0"/>
              <w:rPr>
                <w:sz w:val="20"/>
                <w:szCs w:val="20"/>
                <w:color w:val="auto"/>
              </w:rPr>
            </w:pPr>
            <w:r>
              <w:rPr>
                <w:rFonts w:ascii="Times New Roman" w:cs="Times New Roman" w:eastAsia="Times New Roman" w:hAnsi="Times New Roman"/>
                <w:sz w:val="9"/>
                <w:szCs w:val="9"/>
                <w:color w:val="auto"/>
                <w:w w:val="88"/>
              </w:rPr>
              <w:t>— </w:t>
            </w:r>
          </w:p>
        </w:tc>
        <w:tc>
          <w:tcPr>
            <w:tcW w:w="200" w:type="dxa"/>
            <w:vAlign w:val="bottom"/>
          </w:tcPr>
          <w:p>
            <w:pPr>
              <w:spacing w:after="0"/>
              <w:rPr>
                <w:sz w:val="9"/>
                <w:szCs w:val="9"/>
                <w:color w:val="auto"/>
              </w:rPr>
            </w:pPr>
          </w:p>
        </w:tc>
        <w:tc>
          <w:tcPr>
            <w:tcW w:w="340" w:type="dxa"/>
            <w:vAlign w:val="bottom"/>
          </w:tcPr>
          <w:p>
            <w:pPr>
              <w:jc w:val="center"/>
              <w:ind w:left="146"/>
              <w:spacing w:after="0"/>
              <w:rPr>
                <w:sz w:val="20"/>
                <w:szCs w:val="20"/>
                <w:color w:val="auto"/>
              </w:rPr>
            </w:pPr>
            <w:r>
              <w:rPr>
                <w:rFonts w:ascii="Times New Roman" w:cs="Times New Roman" w:eastAsia="Times New Roman" w:hAnsi="Times New Roman"/>
                <w:sz w:val="9"/>
                <w:szCs w:val="9"/>
                <w:color w:val="auto"/>
                <w:w w:val="88"/>
              </w:rPr>
              <w:t>— </w:t>
            </w: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70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9"/>
                <w:szCs w:val="9"/>
                <w:color w:val="auto"/>
              </w:rPr>
              <w:t>Richard A.</w:t>
            </w: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9"/>
                <w:szCs w:val="9"/>
                <w:color w:val="auto"/>
              </w:rPr>
              <w:t>Galanti</w:t>
            </w:r>
          </w:p>
        </w:tc>
        <w:tc>
          <w:tcPr>
            <w:tcW w:w="5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9"/>
                <w:szCs w:val="9"/>
                <w:color w:val="auto"/>
              </w:rPr>
              <w:t>— </w:t>
            </w: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jc w:val="center"/>
              <w:ind w:left="80"/>
              <w:spacing w:after="0"/>
              <w:rPr>
                <w:sz w:val="20"/>
                <w:szCs w:val="20"/>
                <w:color w:val="auto"/>
              </w:rPr>
            </w:pPr>
            <w:r>
              <w:rPr>
                <w:rFonts w:ascii="Times New Roman" w:cs="Times New Roman" w:eastAsia="Times New Roman" w:hAnsi="Times New Roman"/>
                <w:sz w:val="9"/>
                <w:szCs w:val="9"/>
                <w:color w:val="auto"/>
                <w:w w:val="73"/>
              </w:rPr>
              <w:t>— </w:t>
            </w: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9"/>
                <w:szCs w:val="9"/>
                <w:color w:val="auto"/>
              </w:rPr>
              <w:t>— </w:t>
            </w:r>
          </w:p>
        </w:tc>
        <w:tc>
          <w:tcPr>
            <w:tcW w:w="40" w:type="dxa"/>
            <w:vAlign w:val="bottom"/>
            <w:shd w:val="clear" w:color="auto" w:fill="CCEEFF"/>
          </w:tcPr>
          <w:p>
            <w:pPr>
              <w:spacing w:after="0"/>
              <w:rPr>
                <w:sz w:val="9"/>
                <w:szCs w:val="9"/>
                <w:color w:val="auto"/>
              </w:rPr>
            </w:pPr>
          </w:p>
        </w:tc>
        <w:tc>
          <w:tcPr>
            <w:tcW w:w="24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9"/>
                <w:szCs w:val="9"/>
                <w:color w:val="auto"/>
                <w:w w:val="88"/>
              </w:rPr>
              <w:t>— </w:t>
            </w: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9"/>
                <w:szCs w:val="9"/>
                <w:color w:val="auto"/>
              </w:rPr>
              <w:t>— </w:t>
            </w: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jc w:val="center"/>
              <w:ind w:left="80"/>
              <w:spacing w:after="0"/>
              <w:rPr>
                <w:sz w:val="20"/>
                <w:szCs w:val="20"/>
                <w:color w:val="auto"/>
              </w:rPr>
            </w:pPr>
            <w:r>
              <w:rPr>
                <w:rFonts w:ascii="Times New Roman" w:cs="Times New Roman" w:eastAsia="Times New Roman" w:hAnsi="Times New Roman"/>
                <w:sz w:val="9"/>
                <w:szCs w:val="9"/>
                <w:color w:val="auto"/>
                <w:w w:val="73"/>
              </w:rPr>
              <w:t>— </w:t>
            </w: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9"/>
                <w:szCs w:val="9"/>
                <w:color w:val="auto"/>
              </w:rPr>
              <w:t>— </w:t>
            </w: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jc w:val="center"/>
              <w:ind w:left="107"/>
              <w:spacing w:after="0"/>
              <w:rPr>
                <w:sz w:val="20"/>
                <w:szCs w:val="20"/>
                <w:color w:val="auto"/>
              </w:rPr>
            </w:pPr>
            <w:r>
              <w:rPr>
                <w:rFonts w:ascii="Times New Roman" w:cs="Times New Roman" w:eastAsia="Times New Roman" w:hAnsi="Times New Roman"/>
                <w:sz w:val="9"/>
                <w:szCs w:val="9"/>
                <w:color w:val="auto"/>
                <w:w w:val="88"/>
              </w:rPr>
              <w:t>— </w:t>
            </w: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9"/>
                <w:szCs w:val="9"/>
                <w:color w:val="auto"/>
              </w:rPr>
              <w:t>— </w:t>
            </w:r>
          </w:p>
        </w:tc>
        <w:tc>
          <w:tcPr>
            <w:tcW w:w="40" w:type="dxa"/>
            <w:vAlign w:val="bottom"/>
            <w:shd w:val="clear" w:color="auto" w:fill="CCEEFF"/>
          </w:tcPr>
          <w:p>
            <w:pPr>
              <w:spacing w:after="0"/>
              <w:rPr>
                <w:sz w:val="9"/>
                <w:szCs w:val="9"/>
                <w:color w:val="auto"/>
              </w:rPr>
            </w:pPr>
          </w:p>
        </w:tc>
        <w:tc>
          <w:tcPr>
            <w:tcW w:w="260" w:type="dxa"/>
            <w:vAlign w:val="bottom"/>
            <w:shd w:val="clear" w:color="auto" w:fill="CCEEFF"/>
          </w:tcPr>
          <w:p>
            <w:pPr>
              <w:jc w:val="center"/>
              <w:ind w:left="67"/>
              <w:spacing w:after="0"/>
              <w:rPr>
                <w:sz w:val="20"/>
                <w:szCs w:val="20"/>
                <w:color w:val="auto"/>
              </w:rPr>
            </w:pPr>
            <w:r>
              <w:rPr>
                <w:rFonts w:ascii="Times New Roman" w:cs="Times New Roman" w:eastAsia="Times New Roman" w:hAnsi="Times New Roman"/>
                <w:sz w:val="9"/>
                <w:szCs w:val="9"/>
                <w:color w:val="auto"/>
                <w:w w:val="88"/>
              </w:rPr>
              <w:t>— </w:t>
            </w: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9"/>
                <w:szCs w:val="9"/>
                <w:color w:val="auto"/>
              </w:rPr>
              <w:t>— </w:t>
            </w: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jc w:val="center"/>
              <w:ind w:left="87"/>
              <w:spacing w:after="0"/>
              <w:rPr>
                <w:sz w:val="20"/>
                <w:szCs w:val="20"/>
                <w:color w:val="auto"/>
              </w:rPr>
            </w:pPr>
            <w:r>
              <w:rPr>
                <w:rFonts w:ascii="Times New Roman" w:cs="Times New Roman" w:eastAsia="Times New Roman" w:hAnsi="Times New Roman"/>
                <w:sz w:val="9"/>
                <w:szCs w:val="9"/>
                <w:color w:val="auto"/>
                <w:w w:val="73"/>
              </w:rPr>
              <w:t>— </w:t>
            </w: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9"/>
                <w:szCs w:val="9"/>
                <w:color w:val="auto"/>
              </w:rPr>
              <w:t>— </w:t>
            </w:r>
          </w:p>
        </w:tc>
        <w:tc>
          <w:tcPr>
            <w:tcW w:w="5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9"/>
                <w:szCs w:val="9"/>
                <w:color w:val="auto"/>
              </w:rPr>
              <w:t>— </w:t>
            </w: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9"/>
                <w:szCs w:val="9"/>
                <w:color w:val="auto"/>
                <w:w w:val="88"/>
              </w:rPr>
              <w:t>— </w:t>
            </w:r>
          </w:p>
        </w:tc>
        <w:tc>
          <w:tcPr>
            <w:tcW w:w="200" w:type="dxa"/>
            <w:vAlign w:val="bottom"/>
            <w:shd w:val="clear" w:color="auto" w:fill="CCEEFF"/>
          </w:tcPr>
          <w:p>
            <w:pPr>
              <w:spacing w:after="0"/>
              <w:rPr>
                <w:sz w:val="9"/>
                <w:szCs w:val="9"/>
                <w:color w:val="auto"/>
              </w:rPr>
            </w:pPr>
          </w:p>
        </w:tc>
        <w:tc>
          <w:tcPr>
            <w:tcW w:w="340" w:type="dxa"/>
            <w:vAlign w:val="bottom"/>
            <w:shd w:val="clear" w:color="auto" w:fill="CCEEFF"/>
          </w:tcPr>
          <w:p>
            <w:pPr>
              <w:jc w:val="center"/>
              <w:ind w:left="145"/>
              <w:spacing w:after="0"/>
              <w:rPr>
                <w:sz w:val="20"/>
                <w:szCs w:val="20"/>
                <w:color w:val="auto"/>
              </w:rPr>
            </w:pPr>
            <w:r>
              <w:rPr>
                <w:rFonts w:ascii="Times New Roman" w:cs="Times New Roman" w:eastAsia="Times New Roman" w:hAnsi="Times New Roman"/>
                <w:sz w:val="9"/>
                <w:szCs w:val="9"/>
                <w:color w:val="auto"/>
                <w:w w:val="88"/>
              </w:rPr>
              <w:t>— </w:t>
            </w:r>
          </w:p>
        </w:tc>
        <w:tc>
          <w:tcPr>
            <w:tcW w:w="200" w:type="dxa"/>
            <w:vAlign w:val="bottom"/>
            <w:shd w:val="clear" w:color="auto" w:fill="CCEEFF"/>
          </w:tcPr>
          <w:p>
            <w:pPr>
              <w:spacing w:after="0"/>
              <w:rPr>
                <w:sz w:val="9"/>
                <w:szCs w:val="9"/>
                <w:color w:val="auto"/>
              </w:rPr>
            </w:pPr>
          </w:p>
        </w:tc>
        <w:tc>
          <w:tcPr>
            <w:tcW w:w="340" w:type="dxa"/>
            <w:vAlign w:val="bottom"/>
            <w:shd w:val="clear" w:color="auto" w:fill="CCEEFF"/>
          </w:tcPr>
          <w:p>
            <w:pPr>
              <w:jc w:val="center"/>
              <w:ind w:left="146"/>
              <w:spacing w:after="0"/>
              <w:rPr>
                <w:sz w:val="20"/>
                <w:szCs w:val="20"/>
                <w:color w:val="auto"/>
              </w:rPr>
            </w:pPr>
            <w:r>
              <w:rPr>
                <w:rFonts w:ascii="Times New Roman" w:cs="Times New Roman" w:eastAsia="Times New Roman" w:hAnsi="Times New Roman"/>
                <w:sz w:val="9"/>
                <w:szCs w:val="9"/>
                <w:color w:val="auto"/>
                <w:w w:val="88"/>
              </w:rPr>
              <w:t>— </w:t>
            </w:r>
          </w:p>
        </w:tc>
        <w:tc>
          <w:tcPr>
            <w:tcW w:w="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700" w:type="dxa"/>
            <w:vAlign w:val="bottom"/>
            <w:gridSpan w:val="2"/>
          </w:tcPr>
          <w:p>
            <w:pPr>
              <w:spacing w:after="0" w:line="97" w:lineRule="exact"/>
              <w:rPr>
                <w:sz w:val="20"/>
                <w:szCs w:val="20"/>
                <w:color w:val="auto"/>
              </w:rPr>
            </w:pPr>
            <w:r>
              <w:rPr>
                <w:rFonts w:ascii="Times New Roman" w:cs="Times New Roman" w:eastAsia="Times New Roman" w:hAnsi="Times New Roman"/>
                <w:sz w:val="9"/>
                <w:szCs w:val="9"/>
                <w:color w:val="auto"/>
              </w:rPr>
              <w:t>Patrick J.</w:t>
            </w: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700" w:type="dxa"/>
            <w:vAlign w:val="bottom"/>
            <w:gridSpan w:val="2"/>
          </w:tcPr>
          <w:p>
            <w:pPr>
              <w:ind w:left="100"/>
              <w:spacing w:after="0" w:line="111" w:lineRule="exact"/>
              <w:rPr>
                <w:sz w:val="20"/>
                <w:szCs w:val="20"/>
                <w:color w:val="auto"/>
              </w:rPr>
            </w:pPr>
            <w:r>
              <w:rPr>
                <w:rFonts w:ascii="Times New Roman" w:cs="Times New Roman" w:eastAsia="Times New Roman" w:hAnsi="Times New Roman"/>
                <w:sz w:val="8"/>
                <w:szCs w:val="8"/>
                <w:color w:val="auto"/>
              </w:rPr>
              <w:t>Healy</w:t>
            </w:r>
            <w:r>
              <w:rPr>
                <w:rFonts w:ascii="Times New Roman" w:cs="Times New Roman" w:eastAsia="Times New Roman" w:hAnsi="Times New Roman"/>
                <w:sz w:val="12"/>
                <w:szCs w:val="12"/>
                <w:color w:val="auto"/>
                <w:vertAlign w:val="superscript"/>
              </w:rPr>
              <w:t>(15)</w:t>
            </w: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1,227,753</w:t>
            </w:r>
          </w:p>
        </w:tc>
        <w:tc>
          <w:tcPr>
            <w:tcW w:w="20" w:type="dxa"/>
            <w:vAlign w:val="bottom"/>
          </w:tcPr>
          <w:p>
            <w:pPr>
              <w:spacing w:after="0"/>
              <w:rPr>
                <w:sz w:val="9"/>
                <w:szCs w:val="9"/>
                <w:color w:val="auto"/>
              </w:rPr>
            </w:pPr>
          </w:p>
        </w:tc>
        <w:tc>
          <w:tcPr>
            <w:tcW w:w="260" w:type="dxa"/>
            <w:vAlign w:val="bottom"/>
          </w:tcPr>
          <w:p>
            <w:pPr>
              <w:jc w:val="center"/>
              <w:ind w:left="8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w w:val="87"/>
              </w:rPr>
              <w:t>*</w:t>
            </w:r>
          </w:p>
        </w:tc>
        <w:tc>
          <w:tcPr>
            <w:tcW w:w="2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1,227,753</w:t>
            </w:r>
          </w:p>
        </w:tc>
        <w:tc>
          <w:tcPr>
            <w:tcW w:w="40" w:type="dxa"/>
            <w:vAlign w:val="bottom"/>
          </w:tcPr>
          <w:p>
            <w:pPr>
              <w:spacing w:after="0"/>
              <w:rPr>
                <w:sz w:val="9"/>
                <w:szCs w:val="9"/>
                <w:color w:val="auto"/>
              </w:rPr>
            </w:pPr>
          </w:p>
        </w:tc>
        <w:tc>
          <w:tcPr>
            <w:tcW w:w="240" w:type="dxa"/>
            <w:vAlign w:val="bottom"/>
          </w:tcPr>
          <w:p>
            <w:pPr>
              <w:jc w:val="center"/>
              <w:ind w:left="79"/>
              <w:spacing w:after="0"/>
              <w:rPr>
                <w:sz w:val="20"/>
                <w:szCs w:val="20"/>
                <w:color w:val="auto"/>
              </w:rPr>
            </w:pPr>
            <w:r>
              <w:rPr>
                <w:rFonts w:ascii="Times New Roman" w:cs="Times New Roman" w:eastAsia="Times New Roman" w:hAnsi="Times New Roman"/>
                <w:sz w:val="5"/>
                <w:szCs w:val="5"/>
                <w:color w:val="auto"/>
                <w:w w:val="79"/>
              </w:rPr>
              <w:t> </w:t>
            </w:r>
          </w:p>
        </w:tc>
        <w:tc>
          <w:tcPr>
            <w:tcW w:w="1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w w:val="87"/>
              </w:rPr>
              <w:t>*</w:t>
            </w:r>
          </w:p>
        </w:tc>
        <w:tc>
          <w:tcPr>
            <w:tcW w:w="4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1,227,753</w:t>
            </w:r>
          </w:p>
        </w:tc>
        <w:tc>
          <w:tcPr>
            <w:tcW w:w="20" w:type="dxa"/>
            <w:vAlign w:val="bottom"/>
          </w:tcPr>
          <w:p>
            <w:pPr>
              <w:spacing w:after="0"/>
              <w:rPr>
                <w:sz w:val="9"/>
                <w:szCs w:val="9"/>
                <w:color w:val="auto"/>
              </w:rPr>
            </w:pPr>
          </w:p>
        </w:tc>
        <w:tc>
          <w:tcPr>
            <w:tcW w:w="260" w:type="dxa"/>
            <w:vAlign w:val="bottom"/>
          </w:tcPr>
          <w:p>
            <w:pPr>
              <w:jc w:val="center"/>
              <w:ind w:left="80"/>
              <w:spacing w:after="0"/>
              <w:rPr>
                <w:sz w:val="20"/>
                <w:szCs w:val="20"/>
                <w:color w:val="auto"/>
              </w:rPr>
            </w:pPr>
            <w:r>
              <w:rPr>
                <w:rFonts w:ascii="Times New Roman" w:cs="Times New Roman" w:eastAsia="Times New Roman" w:hAnsi="Times New Roman"/>
                <w:sz w:val="2"/>
                <w:szCs w:val="2"/>
                <w:color w:val="auto"/>
                <w:w w:val="97"/>
              </w:rPr>
              <w:t> </w:t>
            </w:r>
          </w:p>
        </w:tc>
        <w:tc>
          <w:tcPr>
            <w:tcW w:w="160" w:type="dxa"/>
            <w:vAlign w:val="bottom"/>
          </w:tcPr>
          <w:p>
            <w:pPr>
              <w:jc w:val="right"/>
              <w:ind w:right="55"/>
              <w:spacing w:after="0"/>
              <w:rPr>
                <w:sz w:val="20"/>
                <w:szCs w:val="20"/>
                <w:color w:val="auto"/>
              </w:rPr>
            </w:pPr>
            <w:r>
              <w:rPr>
                <w:rFonts w:ascii="Times New Roman" w:cs="Times New Roman" w:eastAsia="Times New Roman" w:hAnsi="Times New Roman"/>
                <w:sz w:val="9"/>
                <w:szCs w:val="9"/>
                <w:color w:val="auto"/>
                <w:w w:val="87"/>
              </w:rPr>
              <w:t>*</w:t>
            </w:r>
          </w:p>
        </w:tc>
        <w:tc>
          <w:tcPr>
            <w:tcW w:w="40" w:type="dxa"/>
            <w:vAlign w:val="bottom"/>
          </w:tcPr>
          <w:p>
            <w:pPr>
              <w:spacing w:after="0"/>
              <w:rPr>
                <w:sz w:val="9"/>
                <w:szCs w:val="9"/>
                <w:color w:val="auto"/>
              </w:rPr>
            </w:pPr>
          </w:p>
        </w:tc>
        <w:tc>
          <w:tcPr>
            <w:tcW w:w="520" w:type="dxa"/>
            <w:vAlign w:val="bottom"/>
          </w:tcPr>
          <w:p>
            <w:pPr>
              <w:jc w:val="right"/>
              <w:ind w:right="15"/>
              <w:spacing w:after="0"/>
              <w:rPr>
                <w:sz w:val="20"/>
                <w:szCs w:val="20"/>
                <w:color w:val="auto"/>
              </w:rPr>
            </w:pPr>
            <w:r>
              <w:rPr>
                <w:rFonts w:ascii="Times New Roman" w:cs="Times New Roman" w:eastAsia="Times New Roman" w:hAnsi="Times New Roman"/>
                <w:sz w:val="9"/>
                <w:szCs w:val="9"/>
                <w:color w:val="auto"/>
              </w:rPr>
              <w:t>— </w:t>
            </w:r>
          </w:p>
        </w:tc>
        <w:tc>
          <w:tcPr>
            <w:tcW w:w="20" w:type="dxa"/>
            <w:vAlign w:val="bottom"/>
          </w:tcPr>
          <w:p>
            <w:pPr>
              <w:spacing w:after="0"/>
              <w:rPr>
                <w:sz w:val="9"/>
                <w:szCs w:val="9"/>
                <w:color w:val="auto"/>
              </w:rPr>
            </w:pPr>
          </w:p>
        </w:tc>
        <w:tc>
          <w:tcPr>
            <w:tcW w:w="260" w:type="dxa"/>
            <w:vAlign w:val="bottom"/>
          </w:tcPr>
          <w:p>
            <w:pPr>
              <w:jc w:val="center"/>
              <w:ind w:left="107"/>
              <w:spacing w:after="0"/>
              <w:rPr>
                <w:sz w:val="20"/>
                <w:szCs w:val="20"/>
                <w:color w:val="auto"/>
              </w:rPr>
            </w:pPr>
            <w:r>
              <w:rPr>
                <w:rFonts w:ascii="Times New Roman" w:cs="Times New Roman" w:eastAsia="Times New Roman" w:hAnsi="Times New Roman"/>
                <w:sz w:val="9"/>
                <w:szCs w:val="9"/>
                <w:color w:val="auto"/>
                <w:w w:val="88"/>
              </w:rPr>
              <w:t>— </w:t>
            </w: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jc w:val="right"/>
              <w:ind w:right="16"/>
              <w:spacing w:after="0"/>
              <w:rPr>
                <w:sz w:val="20"/>
                <w:szCs w:val="20"/>
                <w:color w:val="auto"/>
              </w:rPr>
            </w:pPr>
            <w:r>
              <w:rPr>
                <w:rFonts w:ascii="Times New Roman" w:cs="Times New Roman" w:eastAsia="Times New Roman" w:hAnsi="Times New Roman"/>
                <w:sz w:val="9"/>
                <w:szCs w:val="9"/>
                <w:color w:val="auto"/>
              </w:rPr>
              <w:t>— </w:t>
            </w:r>
          </w:p>
        </w:tc>
        <w:tc>
          <w:tcPr>
            <w:tcW w:w="40" w:type="dxa"/>
            <w:vAlign w:val="bottom"/>
          </w:tcPr>
          <w:p>
            <w:pPr>
              <w:spacing w:after="0"/>
              <w:rPr>
                <w:sz w:val="9"/>
                <w:szCs w:val="9"/>
                <w:color w:val="auto"/>
              </w:rPr>
            </w:pPr>
          </w:p>
        </w:tc>
        <w:tc>
          <w:tcPr>
            <w:tcW w:w="260" w:type="dxa"/>
            <w:vAlign w:val="bottom"/>
          </w:tcPr>
          <w:p>
            <w:pPr>
              <w:jc w:val="center"/>
              <w:ind w:left="67"/>
              <w:spacing w:after="0"/>
              <w:rPr>
                <w:sz w:val="20"/>
                <w:szCs w:val="20"/>
                <w:color w:val="auto"/>
              </w:rPr>
            </w:pPr>
            <w:r>
              <w:rPr>
                <w:rFonts w:ascii="Times New Roman" w:cs="Times New Roman" w:eastAsia="Times New Roman" w:hAnsi="Times New Roman"/>
                <w:sz w:val="9"/>
                <w:szCs w:val="9"/>
                <w:color w:val="auto"/>
                <w:w w:val="88"/>
              </w:rPr>
              <w:t>— </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jc w:val="right"/>
              <w:ind w:right="16"/>
              <w:spacing w:after="0"/>
              <w:rPr>
                <w:sz w:val="20"/>
                <w:szCs w:val="20"/>
                <w:color w:val="auto"/>
              </w:rPr>
            </w:pPr>
            <w:r>
              <w:rPr>
                <w:rFonts w:ascii="Times New Roman" w:cs="Times New Roman" w:eastAsia="Times New Roman" w:hAnsi="Times New Roman"/>
                <w:sz w:val="9"/>
                <w:szCs w:val="9"/>
                <w:color w:val="auto"/>
              </w:rPr>
              <w:t>— </w:t>
            </w:r>
          </w:p>
        </w:tc>
        <w:tc>
          <w:tcPr>
            <w:tcW w:w="20" w:type="dxa"/>
            <w:vAlign w:val="bottom"/>
          </w:tcPr>
          <w:p>
            <w:pPr>
              <w:spacing w:after="0"/>
              <w:rPr>
                <w:sz w:val="9"/>
                <w:szCs w:val="9"/>
                <w:color w:val="auto"/>
              </w:rPr>
            </w:pPr>
          </w:p>
        </w:tc>
        <w:tc>
          <w:tcPr>
            <w:tcW w:w="260" w:type="dxa"/>
            <w:vAlign w:val="bottom"/>
          </w:tcPr>
          <w:p>
            <w:pPr>
              <w:jc w:val="center"/>
              <w:ind w:left="87"/>
              <w:spacing w:after="0"/>
              <w:rPr>
                <w:sz w:val="20"/>
                <w:szCs w:val="20"/>
                <w:color w:val="auto"/>
              </w:rPr>
            </w:pPr>
            <w:r>
              <w:rPr>
                <w:rFonts w:ascii="Times New Roman" w:cs="Times New Roman" w:eastAsia="Times New Roman" w:hAnsi="Times New Roman"/>
                <w:sz w:val="9"/>
                <w:szCs w:val="9"/>
                <w:color w:val="auto"/>
                <w:w w:val="73"/>
              </w:rPr>
              <w:t>— </w:t>
            </w: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gridSpan w:val="2"/>
          </w:tcPr>
          <w:p>
            <w:pPr>
              <w:ind w:left="340"/>
              <w:spacing w:after="0"/>
              <w:rPr>
                <w:sz w:val="20"/>
                <w:szCs w:val="20"/>
                <w:color w:val="auto"/>
              </w:rPr>
            </w:pPr>
            <w:r>
              <w:rPr>
                <w:rFonts w:ascii="Times New Roman" w:cs="Times New Roman" w:eastAsia="Times New Roman" w:hAnsi="Times New Roman"/>
                <w:sz w:val="9"/>
                <w:szCs w:val="9"/>
                <w:color w:val="auto"/>
              </w:rPr>
              <w:t>— </w:t>
            </w:r>
          </w:p>
        </w:tc>
        <w:tc>
          <w:tcPr>
            <w:tcW w:w="5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— </w:t>
            </w:r>
          </w:p>
        </w:tc>
        <w:tc>
          <w:tcPr>
            <w:tcW w:w="20" w:type="dxa"/>
            <w:vAlign w:val="bottom"/>
          </w:tcPr>
          <w:p>
            <w:pPr>
              <w:spacing w:after="0"/>
              <w:rPr>
                <w:sz w:val="9"/>
                <w:szCs w:val="9"/>
                <w:color w:val="auto"/>
              </w:rPr>
            </w:pPr>
          </w:p>
        </w:tc>
        <w:tc>
          <w:tcPr>
            <w:tcW w:w="280" w:type="dxa"/>
            <w:vAlign w:val="bottom"/>
          </w:tcPr>
          <w:p>
            <w:pPr>
              <w:jc w:val="center"/>
              <w:ind w:left="110"/>
              <w:spacing w:after="0"/>
              <w:rPr>
                <w:sz w:val="20"/>
                <w:szCs w:val="20"/>
                <w:color w:val="auto"/>
              </w:rPr>
            </w:pPr>
            <w:r>
              <w:rPr>
                <w:rFonts w:ascii="Times New Roman" w:cs="Times New Roman" w:eastAsia="Times New Roman" w:hAnsi="Times New Roman"/>
                <w:sz w:val="2"/>
                <w:szCs w:val="2"/>
                <w:color w:val="auto"/>
                <w:w w:val="97"/>
              </w:rPr>
              <w:t> </w:t>
            </w:r>
          </w:p>
        </w:tc>
        <w:tc>
          <w:tcPr>
            <w:tcW w:w="200" w:type="dxa"/>
            <w:vAlign w:val="bottom"/>
          </w:tcPr>
          <w:p>
            <w:pPr>
              <w:jc w:val="right"/>
              <w:ind w:right="95"/>
              <w:spacing w:after="0"/>
              <w:rPr>
                <w:sz w:val="20"/>
                <w:szCs w:val="20"/>
                <w:color w:val="auto"/>
              </w:rPr>
            </w:pPr>
            <w:r>
              <w:rPr>
                <w:rFonts w:ascii="Times New Roman" w:cs="Times New Roman" w:eastAsia="Times New Roman" w:hAnsi="Times New Roman"/>
                <w:sz w:val="9"/>
                <w:szCs w:val="9"/>
                <w:color w:val="auto"/>
                <w:w w:val="87"/>
              </w:rPr>
              <w:t>*</w:t>
            </w:r>
          </w:p>
        </w:tc>
        <w:tc>
          <w:tcPr>
            <w:tcW w:w="340" w:type="dxa"/>
            <w:vAlign w:val="bottom"/>
          </w:tcPr>
          <w:p>
            <w:pPr>
              <w:jc w:val="center"/>
              <w:ind w:left="165"/>
              <w:spacing w:after="0"/>
              <w:rPr>
                <w:sz w:val="20"/>
                <w:szCs w:val="20"/>
                <w:color w:val="auto"/>
              </w:rPr>
            </w:pPr>
            <w:r>
              <w:rPr>
                <w:rFonts w:ascii="Times New Roman" w:cs="Times New Roman" w:eastAsia="Times New Roman" w:hAnsi="Times New Roman"/>
                <w:sz w:val="2"/>
                <w:szCs w:val="2"/>
                <w:color w:val="auto"/>
                <w:w w:val="97"/>
              </w:rPr>
              <w:t> </w:t>
            </w:r>
          </w:p>
        </w:tc>
        <w:tc>
          <w:tcPr>
            <w:tcW w:w="200" w:type="dxa"/>
            <w:vAlign w:val="bottom"/>
          </w:tcPr>
          <w:p>
            <w:pPr>
              <w:jc w:val="right"/>
              <w:ind w:right="137"/>
              <w:spacing w:after="0"/>
              <w:rPr>
                <w:sz w:val="20"/>
                <w:szCs w:val="20"/>
                <w:color w:val="auto"/>
              </w:rPr>
            </w:pPr>
            <w:r>
              <w:rPr>
                <w:rFonts w:ascii="Times New Roman" w:cs="Times New Roman" w:eastAsia="Times New Roman" w:hAnsi="Times New Roman"/>
                <w:sz w:val="5"/>
                <w:szCs w:val="5"/>
                <w:color w:val="auto"/>
                <w:w w:val="78"/>
              </w:rPr>
              <w:t>*</w:t>
            </w:r>
          </w:p>
        </w:tc>
        <w:tc>
          <w:tcPr>
            <w:tcW w:w="340" w:type="dxa"/>
            <w:vAlign w:val="bottom"/>
          </w:tcPr>
          <w:p>
            <w:pPr>
              <w:jc w:val="center"/>
              <w:ind w:left="166"/>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jc w:val="right"/>
              <w:ind w:right="117"/>
              <w:spacing w:after="0"/>
              <w:rPr>
                <w:sz w:val="20"/>
                <w:szCs w:val="20"/>
                <w:color w:val="auto"/>
              </w:rPr>
            </w:pPr>
            <w:r>
              <w:rPr>
                <w:rFonts w:ascii="Times New Roman" w:cs="Times New Roman" w:eastAsia="Times New Roman" w:hAnsi="Times New Roman"/>
                <w:sz w:val="5"/>
                <w:szCs w:val="5"/>
                <w:color w:val="auto"/>
                <w:w w:val="78"/>
              </w:rPr>
              <w:t>*</w:t>
            </w:r>
          </w:p>
        </w:tc>
        <w:tc>
          <w:tcPr>
            <w:tcW w:w="0" w:type="dxa"/>
            <w:vAlign w:val="bottom"/>
          </w:tcPr>
          <w:p>
            <w:pPr>
              <w:spacing w:after="0"/>
              <w:rPr>
                <w:sz w:val="1"/>
                <w:szCs w:val="1"/>
                <w:color w:val="auto"/>
              </w:rPr>
            </w:pPr>
          </w:p>
        </w:tc>
      </w:tr>
      <w:tr>
        <w:trPr>
          <w:trHeight w:val="97"/>
        </w:trPr>
        <w:tc>
          <w:tcPr>
            <w:tcW w:w="70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9"/>
                <w:szCs w:val="9"/>
                <w:color w:val="auto"/>
              </w:rPr>
              <w:t>Andrew J.</w:t>
            </w: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700" w:type="dxa"/>
            <w:vAlign w:val="bottom"/>
            <w:gridSpan w:val="2"/>
            <w:shd w:val="clear" w:color="auto" w:fill="CCEEFF"/>
          </w:tcPr>
          <w:p>
            <w:pPr>
              <w:ind w:left="100"/>
              <w:spacing w:after="0" w:line="111" w:lineRule="exact"/>
              <w:rPr>
                <w:sz w:val="20"/>
                <w:szCs w:val="20"/>
                <w:color w:val="auto"/>
              </w:rPr>
            </w:pPr>
            <w:r>
              <w:rPr>
                <w:rFonts w:ascii="Times New Roman" w:cs="Times New Roman" w:eastAsia="Times New Roman" w:hAnsi="Times New Roman"/>
                <w:sz w:val="8"/>
                <w:szCs w:val="8"/>
                <w:color w:val="auto"/>
              </w:rPr>
              <w:t>Mills</w:t>
            </w:r>
            <w:r>
              <w:rPr>
                <w:rFonts w:ascii="Times New Roman" w:cs="Times New Roman" w:eastAsia="Times New Roman" w:hAnsi="Times New Roman"/>
                <w:sz w:val="12"/>
                <w:szCs w:val="12"/>
                <w:color w:val="auto"/>
                <w:vertAlign w:val="superscript"/>
              </w:rPr>
              <w:t>(16)</w:t>
            </w:r>
          </w:p>
        </w:tc>
        <w:tc>
          <w:tcPr>
            <w:tcW w:w="5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9"/>
                <w:szCs w:val="9"/>
                <w:color w:val="auto"/>
              </w:rPr>
              <w:t>— </w:t>
            </w: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jc w:val="center"/>
              <w:ind w:left="80"/>
              <w:spacing w:after="0"/>
              <w:rPr>
                <w:sz w:val="20"/>
                <w:szCs w:val="20"/>
                <w:color w:val="auto"/>
              </w:rPr>
            </w:pPr>
            <w:r>
              <w:rPr>
                <w:rFonts w:ascii="Times New Roman" w:cs="Times New Roman" w:eastAsia="Times New Roman" w:hAnsi="Times New Roman"/>
                <w:sz w:val="9"/>
                <w:szCs w:val="9"/>
                <w:color w:val="auto"/>
                <w:w w:val="73"/>
              </w:rPr>
              <w:t>— </w:t>
            </w: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9"/>
                <w:szCs w:val="9"/>
                <w:color w:val="auto"/>
              </w:rPr>
              <w:t>— </w:t>
            </w:r>
          </w:p>
        </w:tc>
        <w:tc>
          <w:tcPr>
            <w:tcW w:w="40" w:type="dxa"/>
            <w:vAlign w:val="bottom"/>
            <w:shd w:val="clear" w:color="auto" w:fill="CCEEFF"/>
          </w:tcPr>
          <w:p>
            <w:pPr>
              <w:spacing w:after="0"/>
              <w:rPr>
                <w:sz w:val="9"/>
                <w:szCs w:val="9"/>
                <w:color w:val="auto"/>
              </w:rPr>
            </w:pPr>
          </w:p>
        </w:tc>
        <w:tc>
          <w:tcPr>
            <w:tcW w:w="24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9"/>
                <w:szCs w:val="9"/>
                <w:color w:val="auto"/>
                <w:w w:val="88"/>
              </w:rPr>
              <w:t>— </w:t>
            </w: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9"/>
                <w:szCs w:val="9"/>
                <w:color w:val="auto"/>
              </w:rPr>
              <w:t>— </w:t>
            </w: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jc w:val="center"/>
              <w:ind w:left="80"/>
              <w:spacing w:after="0"/>
              <w:rPr>
                <w:sz w:val="20"/>
                <w:szCs w:val="20"/>
                <w:color w:val="auto"/>
              </w:rPr>
            </w:pPr>
            <w:r>
              <w:rPr>
                <w:rFonts w:ascii="Times New Roman" w:cs="Times New Roman" w:eastAsia="Times New Roman" w:hAnsi="Times New Roman"/>
                <w:sz w:val="9"/>
                <w:szCs w:val="9"/>
                <w:color w:val="auto"/>
                <w:w w:val="73"/>
              </w:rPr>
              <w:t>— </w:t>
            </w: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30,655</w:t>
            </w: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jc w:val="center"/>
              <w:ind w:left="87"/>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9"/>
                <w:szCs w:val="9"/>
                <w:color w:val="auto"/>
                <w:w w:val="87"/>
              </w:rPr>
              <w:t>*</w:t>
            </w:r>
          </w:p>
        </w:tc>
        <w:tc>
          <w:tcPr>
            <w:tcW w:w="2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30,655</w:t>
            </w:r>
          </w:p>
        </w:tc>
        <w:tc>
          <w:tcPr>
            <w:tcW w:w="40" w:type="dxa"/>
            <w:vAlign w:val="bottom"/>
            <w:shd w:val="clear" w:color="auto" w:fill="CCEEFF"/>
          </w:tcPr>
          <w:p>
            <w:pPr>
              <w:spacing w:after="0"/>
              <w:rPr>
                <w:sz w:val="9"/>
                <w:szCs w:val="9"/>
                <w:color w:val="auto"/>
              </w:rPr>
            </w:pPr>
          </w:p>
        </w:tc>
        <w:tc>
          <w:tcPr>
            <w:tcW w:w="260" w:type="dxa"/>
            <w:vAlign w:val="bottom"/>
            <w:shd w:val="clear" w:color="auto" w:fill="CCEEFF"/>
          </w:tcPr>
          <w:p>
            <w:pPr>
              <w:jc w:val="center"/>
              <w:ind w:left="87"/>
              <w:spacing w:after="0"/>
              <w:rPr>
                <w:sz w:val="20"/>
                <w:szCs w:val="20"/>
                <w:color w:val="auto"/>
              </w:rPr>
            </w:pPr>
            <w:r>
              <w:rPr>
                <w:rFonts w:ascii="Times New Roman" w:cs="Times New Roman" w:eastAsia="Times New Roman" w:hAnsi="Times New Roman"/>
                <w:sz w:val="2"/>
                <w:szCs w:val="2"/>
                <w:color w:val="auto"/>
                <w:w w:val="97"/>
              </w:rPr>
              <w:t> </w:t>
            </w:r>
          </w:p>
        </w:tc>
        <w:tc>
          <w:tcPr>
            <w:tcW w:w="1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5"/>
                <w:szCs w:val="5"/>
                <w:color w:val="auto"/>
                <w:w w:val="78"/>
              </w:rPr>
              <w:t>*</w:t>
            </w: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30,655</w:t>
            </w: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jc w:val="center"/>
              <w:ind w:left="87"/>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9"/>
                <w:szCs w:val="9"/>
                <w:color w:val="auto"/>
                <w:w w:val="87"/>
              </w:rPr>
              <w:t>*</w:t>
            </w:r>
          </w:p>
        </w:tc>
        <w:tc>
          <w:tcPr>
            <w:tcW w:w="20" w:type="dxa"/>
            <w:vAlign w:val="bottom"/>
            <w:shd w:val="clear" w:color="auto" w:fill="CCEEFF"/>
          </w:tcPr>
          <w:p>
            <w:pPr>
              <w:spacing w:after="0"/>
              <w:rPr>
                <w:sz w:val="9"/>
                <w:szCs w:val="9"/>
                <w:color w:val="auto"/>
              </w:rPr>
            </w:pPr>
          </w:p>
        </w:tc>
        <w:tc>
          <w:tcPr>
            <w:tcW w:w="5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9"/>
                <w:szCs w:val="9"/>
                <w:color w:val="auto"/>
              </w:rPr>
              <w:t>— </w:t>
            </w:r>
          </w:p>
        </w:tc>
        <w:tc>
          <w:tcPr>
            <w:tcW w:w="5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9"/>
                <w:szCs w:val="9"/>
                <w:color w:val="auto"/>
              </w:rPr>
              <w:t>— </w:t>
            </w: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2"/>
                <w:szCs w:val="2"/>
                <w:color w:val="auto"/>
                <w:w w:val="97"/>
              </w:rPr>
              <w:t> </w:t>
            </w:r>
          </w:p>
        </w:tc>
        <w:tc>
          <w:tcPr>
            <w:tcW w:w="2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9"/>
                <w:szCs w:val="9"/>
                <w:color w:val="auto"/>
                <w:w w:val="87"/>
              </w:rPr>
              <w:t>*</w:t>
            </w:r>
          </w:p>
        </w:tc>
        <w:tc>
          <w:tcPr>
            <w:tcW w:w="340" w:type="dxa"/>
            <w:vAlign w:val="bottom"/>
            <w:shd w:val="clear" w:color="auto" w:fill="CCEEFF"/>
          </w:tcPr>
          <w:p>
            <w:pPr>
              <w:jc w:val="center"/>
              <w:ind w:left="165"/>
              <w:spacing w:after="0"/>
              <w:rPr>
                <w:sz w:val="20"/>
                <w:szCs w:val="20"/>
                <w:color w:val="auto"/>
              </w:rPr>
            </w:pPr>
            <w:r>
              <w:rPr>
                <w:rFonts w:ascii="Times New Roman" w:cs="Times New Roman" w:eastAsia="Times New Roman" w:hAnsi="Times New Roman"/>
                <w:sz w:val="2"/>
                <w:szCs w:val="2"/>
                <w:color w:val="auto"/>
                <w:w w:val="97"/>
              </w:rPr>
              <w:t> </w:t>
            </w:r>
          </w:p>
        </w:tc>
        <w:tc>
          <w:tcPr>
            <w:tcW w:w="2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5"/>
                <w:szCs w:val="5"/>
                <w:color w:val="auto"/>
                <w:w w:val="78"/>
              </w:rPr>
              <w:t>*</w:t>
            </w:r>
          </w:p>
        </w:tc>
        <w:tc>
          <w:tcPr>
            <w:tcW w:w="340" w:type="dxa"/>
            <w:vAlign w:val="bottom"/>
            <w:shd w:val="clear" w:color="auto" w:fill="CCEEFF"/>
          </w:tcPr>
          <w:p>
            <w:pPr>
              <w:jc w:val="center"/>
              <w:ind w:left="166"/>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5"/>
                <w:szCs w:val="5"/>
                <w:color w:val="auto"/>
                <w:w w:val="78"/>
              </w:rPr>
              <w:t>*</w:t>
            </w:r>
          </w:p>
        </w:tc>
        <w:tc>
          <w:tcPr>
            <w:tcW w:w="0" w:type="dxa"/>
            <w:vAlign w:val="bottom"/>
          </w:tcPr>
          <w:p>
            <w:pPr>
              <w:spacing w:after="0"/>
              <w:rPr>
                <w:sz w:val="1"/>
                <w:szCs w:val="1"/>
                <w:color w:val="auto"/>
              </w:rPr>
            </w:pPr>
          </w:p>
        </w:tc>
      </w:tr>
      <w:tr>
        <w:trPr>
          <w:trHeight w:val="97"/>
        </w:trPr>
        <w:tc>
          <w:tcPr>
            <w:tcW w:w="700" w:type="dxa"/>
            <w:vAlign w:val="bottom"/>
            <w:gridSpan w:val="2"/>
          </w:tcPr>
          <w:p>
            <w:pPr>
              <w:spacing w:after="0" w:line="97" w:lineRule="exact"/>
              <w:rPr>
                <w:sz w:val="20"/>
                <w:szCs w:val="20"/>
                <w:color w:val="auto"/>
              </w:rPr>
            </w:pPr>
            <w:r>
              <w:rPr>
                <w:rFonts w:ascii="Times New Roman" w:cs="Times New Roman" w:eastAsia="Times New Roman" w:hAnsi="Times New Roman"/>
                <w:sz w:val="9"/>
                <w:szCs w:val="9"/>
                <w:color w:val="auto"/>
              </w:rPr>
              <w:t>Charles N.</w:t>
            </w: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700" w:type="dxa"/>
            <w:vAlign w:val="bottom"/>
            <w:gridSpan w:val="2"/>
          </w:tcPr>
          <w:p>
            <w:pPr>
              <w:ind w:left="100"/>
              <w:spacing w:after="0" w:line="111" w:lineRule="exact"/>
              <w:rPr>
                <w:sz w:val="20"/>
                <w:szCs w:val="20"/>
                <w:color w:val="auto"/>
              </w:rPr>
            </w:pPr>
            <w:r>
              <w:rPr>
                <w:rFonts w:ascii="Times New Roman" w:cs="Times New Roman" w:eastAsia="Times New Roman" w:hAnsi="Times New Roman"/>
                <w:sz w:val="8"/>
                <w:szCs w:val="8"/>
                <w:color w:val="auto"/>
              </w:rPr>
              <w:t>Mills</w:t>
            </w:r>
            <w:r>
              <w:rPr>
                <w:rFonts w:ascii="Times New Roman" w:cs="Times New Roman" w:eastAsia="Times New Roman" w:hAnsi="Times New Roman"/>
                <w:sz w:val="12"/>
                <w:szCs w:val="12"/>
                <w:color w:val="auto"/>
                <w:vertAlign w:val="superscript"/>
              </w:rPr>
              <w:t>(17)</w:t>
            </w:r>
          </w:p>
        </w:tc>
        <w:tc>
          <w:tcPr>
            <w:tcW w:w="520" w:type="dxa"/>
            <w:vAlign w:val="bottom"/>
          </w:tcPr>
          <w:p>
            <w:pPr>
              <w:jc w:val="right"/>
              <w:ind w:right="15"/>
              <w:spacing w:after="0"/>
              <w:rPr>
                <w:sz w:val="20"/>
                <w:szCs w:val="20"/>
                <w:color w:val="auto"/>
              </w:rPr>
            </w:pPr>
            <w:r>
              <w:rPr>
                <w:rFonts w:ascii="Times New Roman" w:cs="Times New Roman" w:eastAsia="Times New Roman" w:hAnsi="Times New Roman"/>
                <w:sz w:val="9"/>
                <w:szCs w:val="9"/>
                <w:color w:val="auto"/>
              </w:rPr>
              <w:t>— </w:t>
            </w:r>
          </w:p>
        </w:tc>
        <w:tc>
          <w:tcPr>
            <w:tcW w:w="20" w:type="dxa"/>
            <w:vAlign w:val="bottom"/>
          </w:tcPr>
          <w:p>
            <w:pPr>
              <w:spacing w:after="0"/>
              <w:rPr>
                <w:sz w:val="9"/>
                <w:szCs w:val="9"/>
                <w:color w:val="auto"/>
              </w:rPr>
            </w:pPr>
          </w:p>
        </w:tc>
        <w:tc>
          <w:tcPr>
            <w:tcW w:w="260" w:type="dxa"/>
            <w:vAlign w:val="bottom"/>
          </w:tcPr>
          <w:p>
            <w:pPr>
              <w:jc w:val="center"/>
              <w:ind w:left="80"/>
              <w:spacing w:after="0"/>
              <w:rPr>
                <w:sz w:val="20"/>
                <w:szCs w:val="20"/>
                <w:color w:val="auto"/>
              </w:rPr>
            </w:pPr>
            <w:r>
              <w:rPr>
                <w:rFonts w:ascii="Times New Roman" w:cs="Times New Roman" w:eastAsia="Times New Roman" w:hAnsi="Times New Roman"/>
                <w:sz w:val="9"/>
                <w:szCs w:val="9"/>
                <w:color w:val="auto"/>
                <w:w w:val="73"/>
              </w:rPr>
              <w:t>— </w:t>
            </w: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jc w:val="right"/>
              <w:ind w:right="16"/>
              <w:spacing w:after="0"/>
              <w:rPr>
                <w:sz w:val="20"/>
                <w:szCs w:val="20"/>
                <w:color w:val="auto"/>
              </w:rPr>
            </w:pPr>
            <w:r>
              <w:rPr>
                <w:rFonts w:ascii="Times New Roman" w:cs="Times New Roman" w:eastAsia="Times New Roman" w:hAnsi="Times New Roman"/>
                <w:sz w:val="9"/>
                <w:szCs w:val="9"/>
                <w:color w:val="auto"/>
              </w:rPr>
              <w:t>— </w:t>
            </w:r>
          </w:p>
        </w:tc>
        <w:tc>
          <w:tcPr>
            <w:tcW w:w="40" w:type="dxa"/>
            <w:vAlign w:val="bottom"/>
          </w:tcPr>
          <w:p>
            <w:pPr>
              <w:spacing w:after="0"/>
              <w:rPr>
                <w:sz w:val="9"/>
                <w:szCs w:val="9"/>
                <w:color w:val="auto"/>
              </w:rPr>
            </w:pPr>
          </w:p>
        </w:tc>
        <w:tc>
          <w:tcPr>
            <w:tcW w:w="240" w:type="dxa"/>
            <w:vAlign w:val="bottom"/>
          </w:tcPr>
          <w:p>
            <w:pPr>
              <w:jc w:val="center"/>
              <w:ind w:left="79"/>
              <w:spacing w:after="0"/>
              <w:rPr>
                <w:sz w:val="20"/>
                <w:szCs w:val="20"/>
                <w:color w:val="auto"/>
              </w:rPr>
            </w:pPr>
            <w:r>
              <w:rPr>
                <w:rFonts w:ascii="Times New Roman" w:cs="Times New Roman" w:eastAsia="Times New Roman" w:hAnsi="Times New Roman"/>
                <w:sz w:val="9"/>
                <w:szCs w:val="9"/>
                <w:color w:val="auto"/>
                <w:w w:val="88"/>
              </w:rPr>
              <w:t>— </w:t>
            </w: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jc w:val="right"/>
              <w:ind w:right="16"/>
              <w:spacing w:after="0"/>
              <w:rPr>
                <w:sz w:val="20"/>
                <w:szCs w:val="20"/>
                <w:color w:val="auto"/>
              </w:rPr>
            </w:pPr>
            <w:r>
              <w:rPr>
                <w:rFonts w:ascii="Times New Roman" w:cs="Times New Roman" w:eastAsia="Times New Roman" w:hAnsi="Times New Roman"/>
                <w:sz w:val="9"/>
                <w:szCs w:val="9"/>
                <w:color w:val="auto"/>
              </w:rPr>
              <w:t>— </w:t>
            </w:r>
          </w:p>
        </w:tc>
        <w:tc>
          <w:tcPr>
            <w:tcW w:w="20" w:type="dxa"/>
            <w:vAlign w:val="bottom"/>
          </w:tcPr>
          <w:p>
            <w:pPr>
              <w:spacing w:after="0"/>
              <w:rPr>
                <w:sz w:val="9"/>
                <w:szCs w:val="9"/>
                <w:color w:val="auto"/>
              </w:rPr>
            </w:pPr>
          </w:p>
        </w:tc>
        <w:tc>
          <w:tcPr>
            <w:tcW w:w="260" w:type="dxa"/>
            <w:vAlign w:val="bottom"/>
          </w:tcPr>
          <w:p>
            <w:pPr>
              <w:jc w:val="center"/>
              <w:ind w:left="80"/>
              <w:spacing w:after="0"/>
              <w:rPr>
                <w:sz w:val="20"/>
                <w:szCs w:val="20"/>
                <w:color w:val="auto"/>
              </w:rPr>
            </w:pPr>
            <w:r>
              <w:rPr>
                <w:rFonts w:ascii="Times New Roman" w:cs="Times New Roman" w:eastAsia="Times New Roman" w:hAnsi="Times New Roman"/>
                <w:sz w:val="9"/>
                <w:szCs w:val="9"/>
                <w:color w:val="auto"/>
                <w:w w:val="73"/>
              </w:rPr>
              <w:t>— </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64,005</w:t>
            </w:r>
          </w:p>
        </w:tc>
        <w:tc>
          <w:tcPr>
            <w:tcW w:w="20" w:type="dxa"/>
            <w:vAlign w:val="bottom"/>
          </w:tcPr>
          <w:p>
            <w:pPr>
              <w:spacing w:after="0"/>
              <w:rPr>
                <w:sz w:val="9"/>
                <w:szCs w:val="9"/>
                <w:color w:val="auto"/>
              </w:rPr>
            </w:pPr>
          </w:p>
        </w:tc>
        <w:tc>
          <w:tcPr>
            <w:tcW w:w="260" w:type="dxa"/>
            <w:vAlign w:val="bottom"/>
          </w:tcPr>
          <w:p>
            <w:pPr>
              <w:jc w:val="center"/>
              <w:ind w:left="87"/>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w w:val="87"/>
              </w:rPr>
              <w:t>*</w:t>
            </w:r>
          </w:p>
        </w:tc>
        <w:tc>
          <w:tcPr>
            <w:tcW w:w="2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64,005</w:t>
            </w:r>
          </w:p>
        </w:tc>
        <w:tc>
          <w:tcPr>
            <w:tcW w:w="40" w:type="dxa"/>
            <w:vAlign w:val="bottom"/>
          </w:tcPr>
          <w:p>
            <w:pPr>
              <w:spacing w:after="0"/>
              <w:rPr>
                <w:sz w:val="9"/>
                <w:szCs w:val="9"/>
                <w:color w:val="auto"/>
              </w:rPr>
            </w:pPr>
          </w:p>
        </w:tc>
        <w:tc>
          <w:tcPr>
            <w:tcW w:w="260" w:type="dxa"/>
            <w:vAlign w:val="bottom"/>
          </w:tcPr>
          <w:p>
            <w:pPr>
              <w:jc w:val="center"/>
              <w:ind w:left="87"/>
              <w:spacing w:after="0"/>
              <w:rPr>
                <w:sz w:val="20"/>
                <w:szCs w:val="20"/>
                <w:color w:val="auto"/>
              </w:rPr>
            </w:pPr>
            <w:r>
              <w:rPr>
                <w:rFonts w:ascii="Times New Roman" w:cs="Times New Roman" w:eastAsia="Times New Roman" w:hAnsi="Times New Roman"/>
                <w:sz w:val="2"/>
                <w:szCs w:val="2"/>
                <w:color w:val="auto"/>
                <w:w w:val="97"/>
              </w:rPr>
              <w:t> </w:t>
            </w:r>
          </w:p>
        </w:tc>
        <w:tc>
          <w:tcPr>
            <w:tcW w:w="160" w:type="dxa"/>
            <w:vAlign w:val="bottom"/>
          </w:tcPr>
          <w:p>
            <w:pPr>
              <w:jc w:val="right"/>
              <w:ind w:right="97"/>
              <w:spacing w:after="0"/>
              <w:rPr>
                <w:sz w:val="20"/>
                <w:szCs w:val="20"/>
                <w:color w:val="auto"/>
              </w:rPr>
            </w:pPr>
            <w:r>
              <w:rPr>
                <w:rFonts w:ascii="Times New Roman" w:cs="Times New Roman" w:eastAsia="Times New Roman" w:hAnsi="Times New Roman"/>
                <w:sz w:val="5"/>
                <w:szCs w:val="5"/>
                <w:color w:val="auto"/>
                <w:w w:val="78"/>
              </w:rPr>
              <w:t>*</w:t>
            </w:r>
          </w:p>
        </w:tc>
        <w:tc>
          <w:tcPr>
            <w:tcW w:w="4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64,005</w:t>
            </w:r>
          </w:p>
        </w:tc>
        <w:tc>
          <w:tcPr>
            <w:tcW w:w="20" w:type="dxa"/>
            <w:vAlign w:val="bottom"/>
          </w:tcPr>
          <w:p>
            <w:pPr>
              <w:spacing w:after="0"/>
              <w:rPr>
                <w:sz w:val="9"/>
                <w:szCs w:val="9"/>
                <w:color w:val="auto"/>
              </w:rPr>
            </w:pPr>
          </w:p>
        </w:tc>
        <w:tc>
          <w:tcPr>
            <w:tcW w:w="260" w:type="dxa"/>
            <w:vAlign w:val="bottom"/>
          </w:tcPr>
          <w:p>
            <w:pPr>
              <w:jc w:val="center"/>
              <w:ind w:left="87"/>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w w:val="87"/>
              </w:rPr>
              <w:t>*</w:t>
            </w:r>
          </w:p>
        </w:tc>
        <w:tc>
          <w:tcPr>
            <w:tcW w:w="20" w:type="dxa"/>
            <w:vAlign w:val="bottom"/>
          </w:tcPr>
          <w:p>
            <w:pPr>
              <w:spacing w:after="0"/>
              <w:rPr>
                <w:sz w:val="9"/>
                <w:szCs w:val="9"/>
                <w:color w:val="auto"/>
              </w:rPr>
            </w:pPr>
          </w:p>
        </w:tc>
        <w:tc>
          <w:tcPr>
            <w:tcW w:w="560" w:type="dxa"/>
            <w:vAlign w:val="bottom"/>
            <w:gridSpan w:val="2"/>
          </w:tcPr>
          <w:p>
            <w:pPr>
              <w:ind w:left="340"/>
              <w:spacing w:after="0"/>
              <w:rPr>
                <w:sz w:val="20"/>
                <w:szCs w:val="20"/>
                <w:color w:val="auto"/>
              </w:rPr>
            </w:pPr>
            <w:r>
              <w:rPr>
                <w:rFonts w:ascii="Times New Roman" w:cs="Times New Roman" w:eastAsia="Times New Roman" w:hAnsi="Times New Roman"/>
                <w:sz w:val="9"/>
                <w:szCs w:val="9"/>
                <w:color w:val="auto"/>
              </w:rPr>
              <w:t>— </w:t>
            </w:r>
          </w:p>
        </w:tc>
        <w:tc>
          <w:tcPr>
            <w:tcW w:w="5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— </w:t>
            </w:r>
          </w:p>
        </w:tc>
        <w:tc>
          <w:tcPr>
            <w:tcW w:w="20" w:type="dxa"/>
            <w:vAlign w:val="bottom"/>
          </w:tcPr>
          <w:p>
            <w:pPr>
              <w:spacing w:after="0"/>
              <w:rPr>
                <w:sz w:val="9"/>
                <w:szCs w:val="9"/>
                <w:color w:val="auto"/>
              </w:rPr>
            </w:pPr>
          </w:p>
        </w:tc>
        <w:tc>
          <w:tcPr>
            <w:tcW w:w="280" w:type="dxa"/>
            <w:vAlign w:val="bottom"/>
          </w:tcPr>
          <w:p>
            <w:pPr>
              <w:jc w:val="center"/>
              <w:ind w:left="110"/>
              <w:spacing w:after="0"/>
              <w:rPr>
                <w:sz w:val="20"/>
                <w:szCs w:val="20"/>
                <w:color w:val="auto"/>
              </w:rPr>
            </w:pPr>
            <w:r>
              <w:rPr>
                <w:rFonts w:ascii="Times New Roman" w:cs="Times New Roman" w:eastAsia="Times New Roman" w:hAnsi="Times New Roman"/>
                <w:sz w:val="2"/>
                <w:szCs w:val="2"/>
                <w:color w:val="auto"/>
                <w:w w:val="97"/>
              </w:rPr>
              <w:t> </w:t>
            </w:r>
          </w:p>
        </w:tc>
        <w:tc>
          <w:tcPr>
            <w:tcW w:w="200" w:type="dxa"/>
            <w:vAlign w:val="bottom"/>
          </w:tcPr>
          <w:p>
            <w:pPr>
              <w:jc w:val="right"/>
              <w:ind w:right="95"/>
              <w:spacing w:after="0"/>
              <w:rPr>
                <w:sz w:val="20"/>
                <w:szCs w:val="20"/>
                <w:color w:val="auto"/>
              </w:rPr>
            </w:pPr>
            <w:r>
              <w:rPr>
                <w:rFonts w:ascii="Times New Roman" w:cs="Times New Roman" w:eastAsia="Times New Roman" w:hAnsi="Times New Roman"/>
                <w:sz w:val="9"/>
                <w:szCs w:val="9"/>
                <w:color w:val="auto"/>
                <w:w w:val="87"/>
              </w:rPr>
              <w:t>*</w:t>
            </w:r>
          </w:p>
        </w:tc>
        <w:tc>
          <w:tcPr>
            <w:tcW w:w="340" w:type="dxa"/>
            <w:vAlign w:val="bottom"/>
          </w:tcPr>
          <w:p>
            <w:pPr>
              <w:jc w:val="center"/>
              <w:ind w:left="165"/>
              <w:spacing w:after="0"/>
              <w:rPr>
                <w:sz w:val="20"/>
                <w:szCs w:val="20"/>
                <w:color w:val="auto"/>
              </w:rPr>
            </w:pPr>
            <w:r>
              <w:rPr>
                <w:rFonts w:ascii="Times New Roman" w:cs="Times New Roman" w:eastAsia="Times New Roman" w:hAnsi="Times New Roman"/>
                <w:sz w:val="2"/>
                <w:szCs w:val="2"/>
                <w:color w:val="auto"/>
                <w:w w:val="97"/>
              </w:rPr>
              <w:t> </w:t>
            </w:r>
          </w:p>
        </w:tc>
        <w:tc>
          <w:tcPr>
            <w:tcW w:w="200" w:type="dxa"/>
            <w:vAlign w:val="bottom"/>
          </w:tcPr>
          <w:p>
            <w:pPr>
              <w:jc w:val="right"/>
              <w:ind w:right="137"/>
              <w:spacing w:after="0"/>
              <w:rPr>
                <w:sz w:val="20"/>
                <w:szCs w:val="20"/>
                <w:color w:val="auto"/>
              </w:rPr>
            </w:pPr>
            <w:r>
              <w:rPr>
                <w:rFonts w:ascii="Times New Roman" w:cs="Times New Roman" w:eastAsia="Times New Roman" w:hAnsi="Times New Roman"/>
                <w:sz w:val="5"/>
                <w:szCs w:val="5"/>
                <w:color w:val="auto"/>
                <w:w w:val="78"/>
              </w:rPr>
              <w:t>*</w:t>
            </w:r>
          </w:p>
        </w:tc>
        <w:tc>
          <w:tcPr>
            <w:tcW w:w="340" w:type="dxa"/>
            <w:vAlign w:val="bottom"/>
          </w:tcPr>
          <w:p>
            <w:pPr>
              <w:jc w:val="center"/>
              <w:ind w:left="166"/>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jc w:val="right"/>
              <w:ind w:right="117"/>
              <w:spacing w:after="0"/>
              <w:rPr>
                <w:sz w:val="20"/>
                <w:szCs w:val="20"/>
                <w:color w:val="auto"/>
              </w:rPr>
            </w:pPr>
            <w:r>
              <w:rPr>
                <w:rFonts w:ascii="Times New Roman" w:cs="Times New Roman" w:eastAsia="Times New Roman" w:hAnsi="Times New Roman"/>
                <w:sz w:val="5"/>
                <w:szCs w:val="5"/>
                <w:color w:val="auto"/>
                <w:w w:val="78"/>
              </w:rPr>
              <w:t>*</w:t>
            </w:r>
          </w:p>
        </w:tc>
        <w:tc>
          <w:tcPr>
            <w:tcW w:w="0" w:type="dxa"/>
            <w:vAlign w:val="bottom"/>
          </w:tcPr>
          <w:p>
            <w:pPr>
              <w:spacing w:after="0"/>
              <w:rPr>
                <w:sz w:val="1"/>
                <w:szCs w:val="1"/>
                <w:color w:val="auto"/>
              </w:rPr>
            </w:pPr>
          </w:p>
        </w:tc>
      </w:tr>
      <w:tr>
        <w:trPr>
          <w:trHeight w:val="97"/>
        </w:trPr>
        <w:tc>
          <w:tcPr>
            <w:tcW w:w="70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9"/>
                <w:szCs w:val="9"/>
                <w:color w:val="auto"/>
              </w:rPr>
              <w:t>Robert R.</w:t>
            </w: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9"/>
                <w:szCs w:val="9"/>
                <w:color w:val="auto"/>
              </w:rPr>
              <w:t>Schmidt</w:t>
            </w:r>
          </w:p>
        </w:tc>
        <w:tc>
          <w:tcPr>
            <w:tcW w:w="5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9"/>
                <w:szCs w:val="9"/>
                <w:color w:val="auto"/>
              </w:rPr>
              <w:t>— </w:t>
            </w: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jc w:val="center"/>
              <w:ind w:left="80"/>
              <w:spacing w:after="0"/>
              <w:rPr>
                <w:sz w:val="20"/>
                <w:szCs w:val="20"/>
                <w:color w:val="auto"/>
              </w:rPr>
            </w:pPr>
            <w:r>
              <w:rPr>
                <w:rFonts w:ascii="Times New Roman" w:cs="Times New Roman" w:eastAsia="Times New Roman" w:hAnsi="Times New Roman"/>
                <w:sz w:val="9"/>
                <w:szCs w:val="9"/>
                <w:color w:val="auto"/>
                <w:w w:val="73"/>
              </w:rPr>
              <w:t>— </w:t>
            </w: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9"/>
                <w:szCs w:val="9"/>
                <w:color w:val="auto"/>
              </w:rPr>
              <w:t>— </w:t>
            </w:r>
          </w:p>
        </w:tc>
        <w:tc>
          <w:tcPr>
            <w:tcW w:w="40" w:type="dxa"/>
            <w:vAlign w:val="bottom"/>
            <w:shd w:val="clear" w:color="auto" w:fill="CCEEFF"/>
          </w:tcPr>
          <w:p>
            <w:pPr>
              <w:spacing w:after="0"/>
              <w:rPr>
                <w:sz w:val="9"/>
                <w:szCs w:val="9"/>
                <w:color w:val="auto"/>
              </w:rPr>
            </w:pPr>
          </w:p>
        </w:tc>
        <w:tc>
          <w:tcPr>
            <w:tcW w:w="24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9"/>
                <w:szCs w:val="9"/>
                <w:color w:val="auto"/>
                <w:w w:val="88"/>
              </w:rPr>
              <w:t>— </w:t>
            </w: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9"/>
                <w:szCs w:val="9"/>
                <w:color w:val="auto"/>
              </w:rPr>
              <w:t>— </w:t>
            </w: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jc w:val="center"/>
              <w:ind w:left="80"/>
              <w:spacing w:after="0"/>
              <w:rPr>
                <w:sz w:val="20"/>
                <w:szCs w:val="20"/>
                <w:color w:val="auto"/>
              </w:rPr>
            </w:pPr>
            <w:r>
              <w:rPr>
                <w:rFonts w:ascii="Times New Roman" w:cs="Times New Roman" w:eastAsia="Times New Roman" w:hAnsi="Times New Roman"/>
                <w:sz w:val="9"/>
                <w:szCs w:val="9"/>
                <w:color w:val="auto"/>
                <w:w w:val="73"/>
              </w:rPr>
              <w:t>— </w:t>
            </w: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9"/>
                <w:szCs w:val="9"/>
                <w:color w:val="auto"/>
              </w:rPr>
              <w:t>— </w:t>
            </w: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jc w:val="center"/>
              <w:ind w:left="107"/>
              <w:spacing w:after="0"/>
              <w:rPr>
                <w:sz w:val="20"/>
                <w:szCs w:val="20"/>
                <w:color w:val="auto"/>
              </w:rPr>
            </w:pPr>
            <w:r>
              <w:rPr>
                <w:rFonts w:ascii="Times New Roman" w:cs="Times New Roman" w:eastAsia="Times New Roman" w:hAnsi="Times New Roman"/>
                <w:sz w:val="9"/>
                <w:szCs w:val="9"/>
                <w:color w:val="auto"/>
                <w:w w:val="88"/>
              </w:rPr>
              <w:t>— </w:t>
            </w: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9"/>
                <w:szCs w:val="9"/>
                <w:color w:val="auto"/>
              </w:rPr>
              <w:t>— </w:t>
            </w:r>
          </w:p>
        </w:tc>
        <w:tc>
          <w:tcPr>
            <w:tcW w:w="40" w:type="dxa"/>
            <w:vAlign w:val="bottom"/>
            <w:shd w:val="clear" w:color="auto" w:fill="CCEEFF"/>
          </w:tcPr>
          <w:p>
            <w:pPr>
              <w:spacing w:after="0"/>
              <w:rPr>
                <w:sz w:val="9"/>
                <w:szCs w:val="9"/>
                <w:color w:val="auto"/>
              </w:rPr>
            </w:pPr>
          </w:p>
        </w:tc>
        <w:tc>
          <w:tcPr>
            <w:tcW w:w="260" w:type="dxa"/>
            <w:vAlign w:val="bottom"/>
            <w:shd w:val="clear" w:color="auto" w:fill="CCEEFF"/>
          </w:tcPr>
          <w:p>
            <w:pPr>
              <w:jc w:val="center"/>
              <w:ind w:left="67"/>
              <w:spacing w:after="0"/>
              <w:rPr>
                <w:sz w:val="20"/>
                <w:szCs w:val="20"/>
                <w:color w:val="auto"/>
              </w:rPr>
            </w:pPr>
            <w:r>
              <w:rPr>
                <w:rFonts w:ascii="Times New Roman" w:cs="Times New Roman" w:eastAsia="Times New Roman" w:hAnsi="Times New Roman"/>
                <w:sz w:val="9"/>
                <w:szCs w:val="9"/>
                <w:color w:val="auto"/>
                <w:w w:val="88"/>
              </w:rPr>
              <w:t>— </w:t>
            </w: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9"/>
                <w:szCs w:val="9"/>
                <w:color w:val="auto"/>
              </w:rPr>
              <w:t>— </w:t>
            </w: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jc w:val="center"/>
              <w:ind w:left="87"/>
              <w:spacing w:after="0"/>
              <w:rPr>
                <w:sz w:val="20"/>
                <w:szCs w:val="20"/>
                <w:color w:val="auto"/>
              </w:rPr>
            </w:pPr>
            <w:r>
              <w:rPr>
                <w:rFonts w:ascii="Times New Roman" w:cs="Times New Roman" w:eastAsia="Times New Roman" w:hAnsi="Times New Roman"/>
                <w:sz w:val="9"/>
                <w:szCs w:val="9"/>
                <w:color w:val="auto"/>
                <w:w w:val="73"/>
              </w:rPr>
              <w:t>— </w:t>
            </w: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9"/>
                <w:szCs w:val="9"/>
                <w:color w:val="auto"/>
              </w:rPr>
              <w:t>— </w:t>
            </w:r>
          </w:p>
        </w:tc>
        <w:tc>
          <w:tcPr>
            <w:tcW w:w="5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9"/>
                <w:szCs w:val="9"/>
                <w:color w:val="auto"/>
              </w:rPr>
              <w:t>— </w:t>
            </w: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9"/>
                <w:szCs w:val="9"/>
                <w:color w:val="auto"/>
                <w:w w:val="88"/>
              </w:rPr>
              <w:t>— </w:t>
            </w:r>
          </w:p>
        </w:tc>
        <w:tc>
          <w:tcPr>
            <w:tcW w:w="200" w:type="dxa"/>
            <w:vAlign w:val="bottom"/>
            <w:shd w:val="clear" w:color="auto" w:fill="CCEEFF"/>
          </w:tcPr>
          <w:p>
            <w:pPr>
              <w:spacing w:after="0"/>
              <w:rPr>
                <w:sz w:val="9"/>
                <w:szCs w:val="9"/>
                <w:color w:val="auto"/>
              </w:rPr>
            </w:pPr>
          </w:p>
        </w:tc>
        <w:tc>
          <w:tcPr>
            <w:tcW w:w="340" w:type="dxa"/>
            <w:vAlign w:val="bottom"/>
            <w:shd w:val="clear" w:color="auto" w:fill="CCEEFF"/>
          </w:tcPr>
          <w:p>
            <w:pPr>
              <w:jc w:val="center"/>
              <w:ind w:left="145"/>
              <w:spacing w:after="0"/>
              <w:rPr>
                <w:sz w:val="20"/>
                <w:szCs w:val="20"/>
                <w:color w:val="auto"/>
              </w:rPr>
            </w:pPr>
            <w:r>
              <w:rPr>
                <w:rFonts w:ascii="Times New Roman" w:cs="Times New Roman" w:eastAsia="Times New Roman" w:hAnsi="Times New Roman"/>
                <w:sz w:val="9"/>
                <w:szCs w:val="9"/>
                <w:color w:val="auto"/>
                <w:w w:val="88"/>
              </w:rPr>
              <w:t>— </w:t>
            </w:r>
          </w:p>
        </w:tc>
        <w:tc>
          <w:tcPr>
            <w:tcW w:w="200" w:type="dxa"/>
            <w:vAlign w:val="bottom"/>
            <w:shd w:val="clear" w:color="auto" w:fill="CCEEFF"/>
          </w:tcPr>
          <w:p>
            <w:pPr>
              <w:spacing w:after="0"/>
              <w:rPr>
                <w:sz w:val="9"/>
                <w:szCs w:val="9"/>
                <w:color w:val="auto"/>
              </w:rPr>
            </w:pPr>
          </w:p>
        </w:tc>
        <w:tc>
          <w:tcPr>
            <w:tcW w:w="340" w:type="dxa"/>
            <w:vAlign w:val="bottom"/>
            <w:shd w:val="clear" w:color="auto" w:fill="CCEEFF"/>
          </w:tcPr>
          <w:p>
            <w:pPr>
              <w:jc w:val="center"/>
              <w:ind w:left="146"/>
              <w:spacing w:after="0"/>
              <w:rPr>
                <w:sz w:val="20"/>
                <w:szCs w:val="20"/>
                <w:color w:val="auto"/>
              </w:rPr>
            </w:pPr>
            <w:r>
              <w:rPr>
                <w:rFonts w:ascii="Times New Roman" w:cs="Times New Roman" w:eastAsia="Times New Roman" w:hAnsi="Times New Roman"/>
                <w:sz w:val="9"/>
                <w:szCs w:val="9"/>
                <w:color w:val="auto"/>
                <w:w w:val="88"/>
              </w:rPr>
              <w:t>— </w:t>
            </w:r>
          </w:p>
        </w:tc>
        <w:tc>
          <w:tcPr>
            <w:tcW w:w="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700" w:type="dxa"/>
            <w:vAlign w:val="bottom"/>
            <w:gridSpan w:val="2"/>
          </w:tcPr>
          <w:p>
            <w:pPr>
              <w:spacing w:after="0" w:line="97" w:lineRule="exact"/>
              <w:rPr>
                <w:sz w:val="20"/>
                <w:szCs w:val="20"/>
                <w:color w:val="auto"/>
              </w:rPr>
            </w:pPr>
            <w:r>
              <w:rPr>
                <w:rFonts w:ascii="Times New Roman" w:cs="Times New Roman" w:eastAsia="Times New Roman" w:hAnsi="Times New Roman"/>
                <w:sz w:val="9"/>
                <w:szCs w:val="9"/>
                <w:color w:val="auto"/>
              </w:rPr>
              <w:t>Anushka M.</w:t>
            </w: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700" w:type="dxa"/>
            <w:vAlign w:val="bottom"/>
            <w:gridSpan w:val="2"/>
          </w:tcPr>
          <w:p>
            <w:pPr>
              <w:ind w:left="100"/>
              <w:spacing w:after="0"/>
              <w:rPr>
                <w:sz w:val="20"/>
                <w:szCs w:val="20"/>
                <w:color w:val="auto"/>
              </w:rPr>
            </w:pPr>
            <w:r>
              <w:rPr>
                <w:rFonts w:ascii="Times New Roman" w:cs="Times New Roman" w:eastAsia="Times New Roman" w:hAnsi="Times New Roman"/>
                <w:sz w:val="9"/>
                <w:szCs w:val="9"/>
                <w:color w:val="auto"/>
              </w:rPr>
              <w:t>Sunder</w:t>
            </w:r>
          </w:p>
        </w:tc>
        <w:tc>
          <w:tcPr>
            <w:tcW w:w="520" w:type="dxa"/>
            <w:vAlign w:val="bottom"/>
          </w:tcPr>
          <w:p>
            <w:pPr>
              <w:jc w:val="right"/>
              <w:ind w:right="15"/>
              <w:spacing w:after="0"/>
              <w:rPr>
                <w:sz w:val="20"/>
                <w:szCs w:val="20"/>
                <w:color w:val="auto"/>
              </w:rPr>
            </w:pPr>
            <w:r>
              <w:rPr>
                <w:rFonts w:ascii="Times New Roman" w:cs="Times New Roman" w:eastAsia="Times New Roman" w:hAnsi="Times New Roman"/>
                <w:sz w:val="9"/>
                <w:szCs w:val="9"/>
                <w:color w:val="auto"/>
              </w:rPr>
              <w:t>— </w:t>
            </w:r>
          </w:p>
        </w:tc>
        <w:tc>
          <w:tcPr>
            <w:tcW w:w="20" w:type="dxa"/>
            <w:vAlign w:val="bottom"/>
          </w:tcPr>
          <w:p>
            <w:pPr>
              <w:spacing w:after="0"/>
              <w:rPr>
                <w:sz w:val="9"/>
                <w:szCs w:val="9"/>
                <w:color w:val="auto"/>
              </w:rPr>
            </w:pPr>
          </w:p>
        </w:tc>
        <w:tc>
          <w:tcPr>
            <w:tcW w:w="260" w:type="dxa"/>
            <w:vAlign w:val="bottom"/>
          </w:tcPr>
          <w:p>
            <w:pPr>
              <w:jc w:val="center"/>
              <w:ind w:left="80"/>
              <w:spacing w:after="0"/>
              <w:rPr>
                <w:sz w:val="20"/>
                <w:szCs w:val="20"/>
                <w:color w:val="auto"/>
              </w:rPr>
            </w:pPr>
            <w:r>
              <w:rPr>
                <w:rFonts w:ascii="Times New Roman" w:cs="Times New Roman" w:eastAsia="Times New Roman" w:hAnsi="Times New Roman"/>
                <w:sz w:val="9"/>
                <w:szCs w:val="9"/>
                <w:color w:val="auto"/>
                <w:w w:val="73"/>
              </w:rPr>
              <w:t>— </w:t>
            </w: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jc w:val="right"/>
              <w:ind w:right="16"/>
              <w:spacing w:after="0"/>
              <w:rPr>
                <w:sz w:val="20"/>
                <w:szCs w:val="20"/>
                <w:color w:val="auto"/>
              </w:rPr>
            </w:pPr>
            <w:r>
              <w:rPr>
                <w:rFonts w:ascii="Times New Roman" w:cs="Times New Roman" w:eastAsia="Times New Roman" w:hAnsi="Times New Roman"/>
                <w:sz w:val="9"/>
                <w:szCs w:val="9"/>
                <w:color w:val="auto"/>
              </w:rPr>
              <w:t>— </w:t>
            </w:r>
          </w:p>
        </w:tc>
        <w:tc>
          <w:tcPr>
            <w:tcW w:w="40" w:type="dxa"/>
            <w:vAlign w:val="bottom"/>
          </w:tcPr>
          <w:p>
            <w:pPr>
              <w:spacing w:after="0"/>
              <w:rPr>
                <w:sz w:val="9"/>
                <w:szCs w:val="9"/>
                <w:color w:val="auto"/>
              </w:rPr>
            </w:pPr>
          </w:p>
        </w:tc>
        <w:tc>
          <w:tcPr>
            <w:tcW w:w="240" w:type="dxa"/>
            <w:vAlign w:val="bottom"/>
          </w:tcPr>
          <w:p>
            <w:pPr>
              <w:jc w:val="center"/>
              <w:ind w:left="79"/>
              <w:spacing w:after="0"/>
              <w:rPr>
                <w:sz w:val="20"/>
                <w:szCs w:val="20"/>
                <w:color w:val="auto"/>
              </w:rPr>
            </w:pPr>
            <w:r>
              <w:rPr>
                <w:rFonts w:ascii="Times New Roman" w:cs="Times New Roman" w:eastAsia="Times New Roman" w:hAnsi="Times New Roman"/>
                <w:sz w:val="9"/>
                <w:szCs w:val="9"/>
                <w:color w:val="auto"/>
                <w:w w:val="88"/>
              </w:rPr>
              <w:t>— </w:t>
            </w: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jc w:val="right"/>
              <w:ind w:right="16"/>
              <w:spacing w:after="0"/>
              <w:rPr>
                <w:sz w:val="20"/>
                <w:szCs w:val="20"/>
                <w:color w:val="auto"/>
              </w:rPr>
            </w:pPr>
            <w:r>
              <w:rPr>
                <w:rFonts w:ascii="Times New Roman" w:cs="Times New Roman" w:eastAsia="Times New Roman" w:hAnsi="Times New Roman"/>
                <w:sz w:val="9"/>
                <w:szCs w:val="9"/>
                <w:color w:val="auto"/>
              </w:rPr>
              <w:t>— </w:t>
            </w:r>
          </w:p>
        </w:tc>
        <w:tc>
          <w:tcPr>
            <w:tcW w:w="20" w:type="dxa"/>
            <w:vAlign w:val="bottom"/>
          </w:tcPr>
          <w:p>
            <w:pPr>
              <w:spacing w:after="0"/>
              <w:rPr>
                <w:sz w:val="9"/>
                <w:szCs w:val="9"/>
                <w:color w:val="auto"/>
              </w:rPr>
            </w:pPr>
          </w:p>
        </w:tc>
        <w:tc>
          <w:tcPr>
            <w:tcW w:w="260" w:type="dxa"/>
            <w:vAlign w:val="bottom"/>
          </w:tcPr>
          <w:p>
            <w:pPr>
              <w:jc w:val="center"/>
              <w:ind w:left="80"/>
              <w:spacing w:after="0"/>
              <w:rPr>
                <w:sz w:val="20"/>
                <w:szCs w:val="20"/>
                <w:color w:val="auto"/>
              </w:rPr>
            </w:pPr>
            <w:r>
              <w:rPr>
                <w:rFonts w:ascii="Times New Roman" w:cs="Times New Roman" w:eastAsia="Times New Roman" w:hAnsi="Times New Roman"/>
                <w:sz w:val="9"/>
                <w:szCs w:val="9"/>
                <w:color w:val="auto"/>
                <w:w w:val="73"/>
              </w:rPr>
              <w:t>— </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jc w:val="right"/>
              <w:ind w:right="15"/>
              <w:spacing w:after="0"/>
              <w:rPr>
                <w:sz w:val="20"/>
                <w:szCs w:val="20"/>
                <w:color w:val="auto"/>
              </w:rPr>
            </w:pPr>
            <w:r>
              <w:rPr>
                <w:rFonts w:ascii="Times New Roman" w:cs="Times New Roman" w:eastAsia="Times New Roman" w:hAnsi="Times New Roman"/>
                <w:sz w:val="9"/>
                <w:szCs w:val="9"/>
                <w:color w:val="auto"/>
              </w:rPr>
              <w:t>— </w:t>
            </w:r>
          </w:p>
        </w:tc>
        <w:tc>
          <w:tcPr>
            <w:tcW w:w="20" w:type="dxa"/>
            <w:vAlign w:val="bottom"/>
          </w:tcPr>
          <w:p>
            <w:pPr>
              <w:spacing w:after="0"/>
              <w:rPr>
                <w:sz w:val="9"/>
                <w:szCs w:val="9"/>
                <w:color w:val="auto"/>
              </w:rPr>
            </w:pPr>
          </w:p>
        </w:tc>
        <w:tc>
          <w:tcPr>
            <w:tcW w:w="260" w:type="dxa"/>
            <w:vAlign w:val="bottom"/>
          </w:tcPr>
          <w:p>
            <w:pPr>
              <w:jc w:val="center"/>
              <w:ind w:left="107"/>
              <w:spacing w:after="0"/>
              <w:rPr>
                <w:sz w:val="20"/>
                <w:szCs w:val="20"/>
                <w:color w:val="auto"/>
              </w:rPr>
            </w:pPr>
            <w:r>
              <w:rPr>
                <w:rFonts w:ascii="Times New Roman" w:cs="Times New Roman" w:eastAsia="Times New Roman" w:hAnsi="Times New Roman"/>
                <w:sz w:val="9"/>
                <w:szCs w:val="9"/>
                <w:color w:val="auto"/>
                <w:w w:val="88"/>
              </w:rPr>
              <w:t>— </w:t>
            </w: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jc w:val="right"/>
              <w:ind w:right="16"/>
              <w:spacing w:after="0"/>
              <w:rPr>
                <w:sz w:val="20"/>
                <w:szCs w:val="20"/>
                <w:color w:val="auto"/>
              </w:rPr>
            </w:pPr>
            <w:r>
              <w:rPr>
                <w:rFonts w:ascii="Times New Roman" w:cs="Times New Roman" w:eastAsia="Times New Roman" w:hAnsi="Times New Roman"/>
                <w:sz w:val="9"/>
                <w:szCs w:val="9"/>
                <w:color w:val="auto"/>
              </w:rPr>
              <w:t>— </w:t>
            </w:r>
          </w:p>
        </w:tc>
        <w:tc>
          <w:tcPr>
            <w:tcW w:w="40" w:type="dxa"/>
            <w:vAlign w:val="bottom"/>
          </w:tcPr>
          <w:p>
            <w:pPr>
              <w:spacing w:after="0"/>
              <w:rPr>
                <w:sz w:val="9"/>
                <w:szCs w:val="9"/>
                <w:color w:val="auto"/>
              </w:rPr>
            </w:pPr>
          </w:p>
        </w:tc>
        <w:tc>
          <w:tcPr>
            <w:tcW w:w="260" w:type="dxa"/>
            <w:vAlign w:val="bottom"/>
          </w:tcPr>
          <w:p>
            <w:pPr>
              <w:jc w:val="center"/>
              <w:ind w:left="67"/>
              <w:spacing w:after="0"/>
              <w:rPr>
                <w:sz w:val="20"/>
                <w:szCs w:val="20"/>
                <w:color w:val="auto"/>
              </w:rPr>
            </w:pPr>
            <w:r>
              <w:rPr>
                <w:rFonts w:ascii="Times New Roman" w:cs="Times New Roman" w:eastAsia="Times New Roman" w:hAnsi="Times New Roman"/>
                <w:sz w:val="9"/>
                <w:szCs w:val="9"/>
                <w:color w:val="auto"/>
                <w:w w:val="88"/>
              </w:rPr>
              <w:t>— </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jc w:val="right"/>
              <w:ind w:right="16"/>
              <w:spacing w:after="0"/>
              <w:rPr>
                <w:sz w:val="20"/>
                <w:szCs w:val="20"/>
                <w:color w:val="auto"/>
              </w:rPr>
            </w:pPr>
            <w:r>
              <w:rPr>
                <w:rFonts w:ascii="Times New Roman" w:cs="Times New Roman" w:eastAsia="Times New Roman" w:hAnsi="Times New Roman"/>
                <w:sz w:val="9"/>
                <w:szCs w:val="9"/>
                <w:color w:val="auto"/>
              </w:rPr>
              <w:t>— </w:t>
            </w:r>
          </w:p>
        </w:tc>
        <w:tc>
          <w:tcPr>
            <w:tcW w:w="20" w:type="dxa"/>
            <w:vAlign w:val="bottom"/>
          </w:tcPr>
          <w:p>
            <w:pPr>
              <w:spacing w:after="0"/>
              <w:rPr>
                <w:sz w:val="9"/>
                <w:szCs w:val="9"/>
                <w:color w:val="auto"/>
              </w:rPr>
            </w:pPr>
          </w:p>
        </w:tc>
        <w:tc>
          <w:tcPr>
            <w:tcW w:w="260" w:type="dxa"/>
            <w:vAlign w:val="bottom"/>
          </w:tcPr>
          <w:p>
            <w:pPr>
              <w:jc w:val="center"/>
              <w:ind w:left="87"/>
              <w:spacing w:after="0"/>
              <w:rPr>
                <w:sz w:val="20"/>
                <w:szCs w:val="20"/>
                <w:color w:val="auto"/>
              </w:rPr>
            </w:pPr>
            <w:r>
              <w:rPr>
                <w:rFonts w:ascii="Times New Roman" w:cs="Times New Roman" w:eastAsia="Times New Roman" w:hAnsi="Times New Roman"/>
                <w:sz w:val="9"/>
                <w:szCs w:val="9"/>
                <w:color w:val="auto"/>
                <w:w w:val="73"/>
              </w:rPr>
              <w:t>— </w:t>
            </w: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gridSpan w:val="2"/>
          </w:tcPr>
          <w:p>
            <w:pPr>
              <w:ind w:left="340"/>
              <w:spacing w:after="0"/>
              <w:rPr>
                <w:sz w:val="20"/>
                <w:szCs w:val="20"/>
                <w:color w:val="auto"/>
              </w:rPr>
            </w:pPr>
            <w:r>
              <w:rPr>
                <w:rFonts w:ascii="Times New Roman" w:cs="Times New Roman" w:eastAsia="Times New Roman" w:hAnsi="Times New Roman"/>
                <w:sz w:val="9"/>
                <w:szCs w:val="9"/>
                <w:color w:val="auto"/>
              </w:rPr>
              <w:t>— </w:t>
            </w:r>
          </w:p>
        </w:tc>
        <w:tc>
          <w:tcPr>
            <w:tcW w:w="5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— </w:t>
            </w:r>
          </w:p>
        </w:tc>
        <w:tc>
          <w:tcPr>
            <w:tcW w:w="20" w:type="dxa"/>
            <w:vAlign w:val="bottom"/>
          </w:tcPr>
          <w:p>
            <w:pPr>
              <w:spacing w:after="0"/>
              <w:rPr>
                <w:sz w:val="9"/>
                <w:szCs w:val="9"/>
                <w:color w:val="auto"/>
              </w:rPr>
            </w:pPr>
          </w:p>
        </w:tc>
        <w:tc>
          <w:tcPr>
            <w:tcW w:w="280" w:type="dxa"/>
            <w:vAlign w:val="bottom"/>
          </w:tcPr>
          <w:p>
            <w:pPr>
              <w:jc w:val="center"/>
              <w:ind w:left="130"/>
              <w:spacing w:after="0"/>
              <w:rPr>
                <w:sz w:val="20"/>
                <w:szCs w:val="20"/>
                <w:color w:val="auto"/>
              </w:rPr>
            </w:pPr>
            <w:r>
              <w:rPr>
                <w:rFonts w:ascii="Times New Roman" w:cs="Times New Roman" w:eastAsia="Times New Roman" w:hAnsi="Times New Roman"/>
                <w:sz w:val="9"/>
                <w:szCs w:val="9"/>
                <w:color w:val="auto"/>
                <w:w w:val="88"/>
              </w:rPr>
              <w:t>— </w:t>
            </w:r>
          </w:p>
        </w:tc>
        <w:tc>
          <w:tcPr>
            <w:tcW w:w="200" w:type="dxa"/>
            <w:vAlign w:val="bottom"/>
          </w:tcPr>
          <w:p>
            <w:pPr>
              <w:spacing w:after="0"/>
              <w:rPr>
                <w:sz w:val="9"/>
                <w:szCs w:val="9"/>
                <w:color w:val="auto"/>
              </w:rPr>
            </w:pPr>
          </w:p>
        </w:tc>
        <w:tc>
          <w:tcPr>
            <w:tcW w:w="340" w:type="dxa"/>
            <w:vAlign w:val="bottom"/>
          </w:tcPr>
          <w:p>
            <w:pPr>
              <w:jc w:val="center"/>
              <w:ind w:left="145"/>
              <w:spacing w:after="0"/>
              <w:rPr>
                <w:sz w:val="20"/>
                <w:szCs w:val="20"/>
                <w:color w:val="auto"/>
              </w:rPr>
            </w:pPr>
            <w:r>
              <w:rPr>
                <w:rFonts w:ascii="Times New Roman" w:cs="Times New Roman" w:eastAsia="Times New Roman" w:hAnsi="Times New Roman"/>
                <w:sz w:val="9"/>
                <w:szCs w:val="9"/>
                <w:color w:val="auto"/>
                <w:w w:val="88"/>
              </w:rPr>
              <w:t>— </w:t>
            </w:r>
          </w:p>
        </w:tc>
        <w:tc>
          <w:tcPr>
            <w:tcW w:w="200" w:type="dxa"/>
            <w:vAlign w:val="bottom"/>
          </w:tcPr>
          <w:p>
            <w:pPr>
              <w:spacing w:after="0"/>
              <w:rPr>
                <w:sz w:val="9"/>
                <w:szCs w:val="9"/>
                <w:color w:val="auto"/>
              </w:rPr>
            </w:pPr>
          </w:p>
        </w:tc>
        <w:tc>
          <w:tcPr>
            <w:tcW w:w="340" w:type="dxa"/>
            <w:vAlign w:val="bottom"/>
          </w:tcPr>
          <w:p>
            <w:pPr>
              <w:jc w:val="center"/>
              <w:ind w:left="146"/>
              <w:spacing w:after="0"/>
              <w:rPr>
                <w:sz w:val="20"/>
                <w:szCs w:val="20"/>
                <w:color w:val="auto"/>
              </w:rPr>
            </w:pPr>
            <w:r>
              <w:rPr>
                <w:rFonts w:ascii="Times New Roman" w:cs="Times New Roman" w:eastAsia="Times New Roman" w:hAnsi="Times New Roman"/>
                <w:sz w:val="9"/>
                <w:szCs w:val="9"/>
                <w:color w:val="auto"/>
                <w:w w:val="88"/>
              </w:rPr>
              <w:t>— </w:t>
            </w: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9"/>
                <w:szCs w:val="9"/>
                <w:color w:val="auto"/>
              </w:rPr>
              <w:t>Thomas W. Sweet</w:t>
            </w:r>
          </w:p>
        </w:tc>
        <w:tc>
          <w:tcPr>
            <w:tcW w:w="5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9"/>
                <w:szCs w:val="9"/>
                <w:color w:val="auto"/>
              </w:rPr>
              <w:t>— </w:t>
            </w: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jc w:val="center"/>
              <w:ind w:left="80"/>
              <w:spacing w:after="0"/>
              <w:rPr>
                <w:sz w:val="20"/>
                <w:szCs w:val="20"/>
                <w:color w:val="auto"/>
              </w:rPr>
            </w:pPr>
            <w:r>
              <w:rPr>
                <w:rFonts w:ascii="Times New Roman" w:cs="Times New Roman" w:eastAsia="Times New Roman" w:hAnsi="Times New Roman"/>
                <w:sz w:val="9"/>
                <w:szCs w:val="9"/>
                <w:color w:val="auto"/>
                <w:w w:val="73"/>
              </w:rPr>
              <w:t>— </w:t>
            </w: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9"/>
                <w:szCs w:val="9"/>
                <w:color w:val="auto"/>
              </w:rPr>
              <w:t>— </w:t>
            </w:r>
          </w:p>
        </w:tc>
        <w:tc>
          <w:tcPr>
            <w:tcW w:w="40" w:type="dxa"/>
            <w:vAlign w:val="bottom"/>
            <w:shd w:val="clear" w:color="auto" w:fill="CCEEFF"/>
          </w:tcPr>
          <w:p>
            <w:pPr>
              <w:spacing w:after="0"/>
              <w:rPr>
                <w:sz w:val="9"/>
                <w:szCs w:val="9"/>
                <w:color w:val="auto"/>
              </w:rPr>
            </w:pPr>
          </w:p>
        </w:tc>
        <w:tc>
          <w:tcPr>
            <w:tcW w:w="24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9"/>
                <w:szCs w:val="9"/>
                <w:color w:val="auto"/>
                <w:w w:val="88"/>
              </w:rPr>
              <w:t>— </w:t>
            </w: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9"/>
                <w:szCs w:val="9"/>
                <w:color w:val="auto"/>
              </w:rPr>
              <w:t>— </w:t>
            </w: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jc w:val="center"/>
              <w:ind w:left="80"/>
              <w:spacing w:after="0"/>
              <w:rPr>
                <w:sz w:val="20"/>
                <w:szCs w:val="20"/>
                <w:color w:val="auto"/>
              </w:rPr>
            </w:pPr>
            <w:r>
              <w:rPr>
                <w:rFonts w:ascii="Times New Roman" w:cs="Times New Roman" w:eastAsia="Times New Roman" w:hAnsi="Times New Roman"/>
                <w:sz w:val="9"/>
                <w:szCs w:val="9"/>
                <w:color w:val="auto"/>
                <w:w w:val="73"/>
              </w:rPr>
              <w:t>— </w:t>
            </w: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9"/>
                <w:szCs w:val="9"/>
                <w:color w:val="auto"/>
              </w:rPr>
              <w:t>— </w:t>
            </w: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jc w:val="center"/>
              <w:ind w:left="107"/>
              <w:spacing w:after="0"/>
              <w:rPr>
                <w:sz w:val="20"/>
                <w:szCs w:val="20"/>
                <w:color w:val="auto"/>
              </w:rPr>
            </w:pPr>
            <w:r>
              <w:rPr>
                <w:rFonts w:ascii="Times New Roman" w:cs="Times New Roman" w:eastAsia="Times New Roman" w:hAnsi="Times New Roman"/>
                <w:sz w:val="9"/>
                <w:szCs w:val="9"/>
                <w:color w:val="auto"/>
                <w:w w:val="88"/>
              </w:rPr>
              <w:t>— </w:t>
            </w: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9"/>
                <w:szCs w:val="9"/>
                <w:color w:val="auto"/>
              </w:rPr>
              <w:t>— </w:t>
            </w:r>
          </w:p>
        </w:tc>
        <w:tc>
          <w:tcPr>
            <w:tcW w:w="40" w:type="dxa"/>
            <w:vAlign w:val="bottom"/>
            <w:shd w:val="clear" w:color="auto" w:fill="CCEEFF"/>
          </w:tcPr>
          <w:p>
            <w:pPr>
              <w:spacing w:after="0"/>
              <w:rPr>
                <w:sz w:val="9"/>
                <w:szCs w:val="9"/>
                <w:color w:val="auto"/>
              </w:rPr>
            </w:pPr>
          </w:p>
        </w:tc>
        <w:tc>
          <w:tcPr>
            <w:tcW w:w="260" w:type="dxa"/>
            <w:vAlign w:val="bottom"/>
            <w:shd w:val="clear" w:color="auto" w:fill="CCEEFF"/>
          </w:tcPr>
          <w:p>
            <w:pPr>
              <w:jc w:val="center"/>
              <w:ind w:left="67"/>
              <w:spacing w:after="0"/>
              <w:rPr>
                <w:sz w:val="20"/>
                <w:szCs w:val="20"/>
                <w:color w:val="auto"/>
              </w:rPr>
            </w:pPr>
            <w:r>
              <w:rPr>
                <w:rFonts w:ascii="Times New Roman" w:cs="Times New Roman" w:eastAsia="Times New Roman" w:hAnsi="Times New Roman"/>
                <w:sz w:val="9"/>
                <w:szCs w:val="9"/>
                <w:color w:val="auto"/>
                <w:w w:val="88"/>
              </w:rPr>
              <w:t>— </w:t>
            </w: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9"/>
                <w:szCs w:val="9"/>
                <w:color w:val="auto"/>
              </w:rPr>
              <w:t>— </w:t>
            </w: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jc w:val="center"/>
              <w:ind w:left="87"/>
              <w:spacing w:after="0"/>
              <w:rPr>
                <w:sz w:val="20"/>
                <w:szCs w:val="20"/>
                <w:color w:val="auto"/>
              </w:rPr>
            </w:pPr>
            <w:r>
              <w:rPr>
                <w:rFonts w:ascii="Times New Roman" w:cs="Times New Roman" w:eastAsia="Times New Roman" w:hAnsi="Times New Roman"/>
                <w:sz w:val="9"/>
                <w:szCs w:val="9"/>
                <w:color w:val="auto"/>
                <w:w w:val="73"/>
              </w:rPr>
              <w:t>— </w:t>
            </w: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9"/>
                <w:szCs w:val="9"/>
                <w:color w:val="auto"/>
              </w:rPr>
              <w:t>— </w:t>
            </w:r>
          </w:p>
        </w:tc>
        <w:tc>
          <w:tcPr>
            <w:tcW w:w="5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9"/>
                <w:szCs w:val="9"/>
                <w:color w:val="auto"/>
              </w:rPr>
              <w:t>— </w:t>
            </w: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9"/>
                <w:szCs w:val="9"/>
                <w:color w:val="auto"/>
                <w:w w:val="88"/>
              </w:rPr>
              <w:t>— </w:t>
            </w:r>
          </w:p>
        </w:tc>
        <w:tc>
          <w:tcPr>
            <w:tcW w:w="200" w:type="dxa"/>
            <w:vAlign w:val="bottom"/>
            <w:shd w:val="clear" w:color="auto" w:fill="CCEEFF"/>
          </w:tcPr>
          <w:p>
            <w:pPr>
              <w:spacing w:after="0"/>
              <w:rPr>
                <w:sz w:val="9"/>
                <w:szCs w:val="9"/>
                <w:color w:val="auto"/>
              </w:rPr>
            </w:pPr>
          </w:p>
        </w:tc>
        <w:tc>
          <w:tcPr>
            <w:tcW w:w="340" w:type="dxa"/>
            <w:vAlign w:val="bottom"/>
            <w:shd w:val="clear" w:color="auto" w:fill="CCEEFF"/>
          </w:tcPr>
          <w:p>
            <w:pPr>
              <w:jc w:val="center"/>
              <w:ind w:left="145"/>
              <w:spacing w:after="0"/>
              <w:rPr>
                <w:sz w:val="20"/>
                <w:szCs w:val="20"/>
                <w:color w:val="auto"/>
              </w:rPr>
            </w:pPr>
            <w:r>
              <w:rPr>
                <w:rFonts w:ascii="Times New Roman" w:cs="Times New Roman" w:eastAsia="Times New Roman" w:hAnsi="Times New Roman"/>
                <w:sz w:val="9"/>
                <w:szCs w:val="9"/>
                <w:color w:val="auto"/>
                <w:w w:val="88"/>
              </w:rPr>
              <w:t>— </w:t>
            </w:r>
          </w:p>
        </w:tc>
        <w:tc>
          <w:tcPr>
            <w:tcW w:w="200" w:type="dxa"/>
            <w:vAlign w:val="bottom"/>
            <w:shd w:val="clear" w:color="auto" w:fill="CCEEFF"/>
          </w:tcPr>
          <w:p>
            <w:pPr>
              <w:spacing w:after="0"/>
              <w:rPr>
                <w:sz w:val="9"/>
                <w:szCs w:val="9"/>
                <w:color w:val="auto"/>
              </w:rPr>
            </w:pPr>
          </w:p>
        </w:tc>
        <w:tc>
          <w:tcPr>
            <w:tcW w:w="340" w:type="dxa"/>
            <w:vAlign w:val="bottom"/>
            <w:shd w:val="clear" w:color="auto" w:fill="CCEEFF"/>
          </w:tcPr>
          <w:p>
            <w:pPr>
              <w:jc w:val="center"/>
              <w:ind w:left="146"/>
              <w:spacing w:after="0"/>
              <w:rPr>
                <w:sz w:val="20"/>
                <w:szCs w:val="20"/>
                <w:color w:val="auto"/>
              </w:rPr>
            </w:pPr>
            <w:r>
              <w:rPr>
                <w:rFonts w:ascii="Times New Roman" w:cs="Times New Roman" w:eastAsia="Times New Roman" w:hAnsi="Times New Roman"/>
                <w:sz w:val="9"/>
                <w:szCs w:val="9"/>
                <w:color w:val="auto"/>
                <w:w w:val="88"/>
              </w:rPr>
              <w:t>— </w:t>
            </w:r>
          </w:p>
        </w:tc>
        <w:tc>
          <w:tcPr>
            <w:tcW w:w="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700" w:type="dxa"/>
            <w:vAlign w:val="bottom"/>
            <w:gridSpan w:val="2"/>
          </w:tcPr>
          <w:p>
            <w:pPr>
              <w:spacing w:after="0"/>
              <w:rPr>
                <w:sz w:val="20"/>
                <w:szCs w:val="20"/>
                <w:color w:val="auto"/>
              </w:rPr>
            </w:pPr>
            <w:r>
              <w:rPr>
                <w:rFonts w:ascii="Times New Roman" w:cs="Times New Roman" w:eastAsia="Times New Roman" w:hAnsi="Times New Roman"/>
                <w:sz w:val="9"/>
                <w:szCs w:val="9"/>
                <w:color w:val="auto"/>
              </w:rPr>
              <w:t>Stephen H. Wise</w:t>
            </w:r>
          </w:p>
        </w:tc>
        <w:tc>
          <w:tcPr>
            <w:tcW w:w="520" w:type="dxa"/>
            <w:vAlign w:val="bottom"/>
          </w:tcPr>
          <w:p>
            <w:pPr>
              <w:jc w:val="right"/>
              <w:ind w:right="15"/>
              <w:spacing w:after="0"/>
              <w:rPr>
                <w:sz w:val="20"/>
                <w:szCs w:val="20"/>
                <w:color w:val="auto"/>
              </w:rPr>
            </w:pPr>
            <w:r>
              <w:rPr>
                <w:rFonts w:ascii="Times New Roman" w:cs="Times New Roman" w:eastAsia="Times New Roman" w:hAnsi="Times New Roman"/>
                <w:sz w:val="9"/>
                <w:szCs w:val="9"/>
                <w:color w:val="auto"/>
              </w:rPr>
              <w:t>— </w:t>
            </w:r>
          </w:p>
        </w:tc>
        <w:tc>
          <w:tcPr>
            <w:tcW w:w="20" w:type="dxa"/>
            <w:vAlign w:val="bottom"/>
          </w:tcPr>
          <w:p>
            <w:pPr>
              <w:spacing w:after="0"/>
              <w:rPr>
                <w:sz w:val="9"/>
                <w:szCs w:val="9"/>
                <w:color w:val="auto"/>
              </w:rPr>
            </w:pPr>
          </w:p>
        </w:tc>
        <w:tc>
          <w:tcPr>
            <w:tcW w:w="260" w:type="dxa"/>
            <w:vAlign w:val="bottom"/>
          </w:tcPr>
          <w:p>
            <w:pPr>
              <w:jc w:val="center"/>
              <w:ind w:left="80"/>
              <w:spacing w:after="0"/>
              <w:rPr>
                <w:sz w:val="20"/>
                <w:szCs w:val="20"/>
                <w:color w:val="auto"/>
              </w:rPr>
            </w:pPr>
            <w:r>
              <w:rPr>
                <w:rFonts w:ascii="Times New Roman" w:cs="Times New Roman" w:eastAsia="Times New Roman" w:hAnsi="Times New Roman"/>
                <w:sz w:val="9"/>
                <w:szCs w:val="9"/>
                <w:color w:val="auto"/>
                <w:w w:val="73"/>
              </w:rPr>
              <w:t>— </w:t>
            </w: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jc w:val="right"/>
              <w:ind w:right="16"/>
              <w:spacing w:after="0"/>
              <w:rPr>
                <w:sz w:val="20"/>
                <w:szCs w:val="20"/>
                <w:color w:val="auto"/>
              </w:rPr>
            </w:pPr>
            <w:r>
              <w:rPr>
                <w:rFonts w:ascii="Times New Roman" w:cs="Times New Roman" w:eastAsia="Times New Roman" w:hAnsi="Times New Roman"/>
                <w:sz w:val="9"/>
                <w:szCs w:val="9"/>
                <w:color w:val="auto"/>
              </w:rPr>
              <w:t>— </w:t>
            </w:r>
          </w:p>
        </w:tc>
        <w:tc>
          <w:tcPr>
            <w:tcW w:w="40" w:type="dxa"/>
            <w:vAlign w:val="bottom"/>
          </w:tcPr>
          <w:p>
            <w:pPr>
              <w:spacing w:after="0"/>
              <w:rPr>
                <w:sz w:val="9"/>
                <w:szCs w:val="9"/>
                <w:color w:val="auto"/>
              </w:rPr>
            </w:pPr>
          </w:p>
        </w:tc>
        <w:tc>
          <w:tcPr>
            <w:tcW w:w="240" w:type="dxa"/>
            <w:vAlign w:val="bottom"/>
          </w:tcPr>
          <w:p>
            <w:pPr>
              <w:jc w:val="center"/>
              <w:ind w:left="79"/>
              <w:spacing w:after="0"/>
              <w:rPr>
                <w:sz w:val="20"/>
                <w:szCs w:val="20"/>
                <w:color w:val="auto"/>
              </w:rPr>
            </w:pPr>
            <w:r>
              <w:rPr>
                <w:rFonts w:ascii="Times New Roman" w:cs="Times New Roman" w:eastAsia="Times New Roman" w:hAnsi="Times New Roman"/>
                <w:sz w:val="9"/>
                <w:szCs w:val="9"/>
                <w:color w:val="auto"/>
                <w:w w:val="88"/>
              </w:rPr>
              <w:t>— </w:t>
            </w: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jc w:val="right"/>
              <w:ind w:right="16"/>
              <w:spacing w:after="0"/>
              <w:rPr>
                <w:sz w:val="20"/>
                <w:szCs w:val="20"/>
                <w:color w:val="auto"/>
              </w:rPr>
            </w:pPr>
            <w:r>
              <w:rPr>
                <w:rFonts w:ascii="Times New Roman" w:cs="Times New Roman" w:eastAsia="Times New Roman" w:hAnsi="Times New Roman"/>
                <w:sz w:val="9"/>
                <w:szCs w:val="9"/>
                <w:color w:val="auto"/>
              </w:rPr>
              <w:t>— </w:t>
            </w:r>
          </w:p>
        </w:tc>
        <w:tc>
          <w:tcPr>
            <w:tcW w:w="20" w:type="dxa"/>
            <w:vAlign w:val="bottom"/>
          </w:tcPr>
          <w:p>
            <w:pPr>
              <w:spacing w:after="0"/>
              <w:rPr>
                <w:sz w:val="9"/>
                <w:szCs w:val="9"/>
                <w:color w:val="auto"/>
              </w:rPr>
            </w:pPr>
          </w:p>
        </w:tc>
        <w:tc>
          <w:tcPr>
            <w:tcW w:w="260" w:type="dxa"/>
            <w:vAlign w:val="bottom"/>
          </w:tcPr>
          <w:p>
            <w:pPr>
              <w:jc w:val="center"/>
              <w:ind w:left="80"/>
              <w:spacing w:after="0"/>
              <w:rPr>
                <w:sz w:val="20"/>
                <w:szCs w:val="20"/>
                <w:color w:val="auto"/>
              </w:rPr>
            </w:pPr>
            <w:r>
              <w:rPr>
                <w:rFonts w:ascii="Times New Roman" w:cs="Times New Roman" w:eastAsia="Times New Roman" w:hAnsi="Times New Roman"/>
                <w:sz w:val="9"/>
                <w:szCs w:val="9"/>
                <w:color w:val="auto"/>
                <w:w w:val="73"/>
              </w:rPr>
              <w:t>— </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jc w:val="right"/>
              <w:ind w:right="15"/>
              <w:spacing w:after="0"/>
              <w:rPr>
                <w:sz w:val="20"/>
                <w:szCs w:val="20"/>
                <w:color w:val="auto"/>
              </w:rPr>
            </w:pPr>
            <w:r>
              <w:rPr>
                <w:rFonts w:ascii="Times New Roman" w:cs="Times New Roman" w:eastAsia="Times New Roman" w:hAnsi="Times New Roman"/>
                <w:sz w:val="9"/>
                <w:szCs w:val="9"/>
                <w:color w:val="auto"/>
              </w:rPr>
              <w:t>— </w:t>
            </w:r>
          </w:p>
        </w:tc>
        <w:tc>
          <w:tcPr>
            <w:tcW w:w="20" w:type="dxa"/>
            <w:vAlign w:val="bottom"/>
          </w:tcPr>
          <w:p>
            <w:pPr>
              <w:spacing w:after="0"/>
              <w:rPr>
                <w:sz w:val="9"/>
                <w:szCs w:val="9"/>
                <w:color w:val="auto"/>
              </w:rPr>
            </w:pPr>
          </w:p>
        </w:tc>
        <w:tc>
          <w:tcPr>
            <w:tcW w:w="260" w:type="dxa"/>
            <w:vAlign w:val="bottom"/>
          </w:tcPr>
          <w:p>
            <w:pPr>
              <w:jc w:val="center"/>
              <w:ind w:left="107"/>
              <w:spacing w:after="0"/>
              <w:rPr>
                <w:sz w:val="20"/>
                <w:szCs w:val="20"/>
                <w:color w:val="auto"/>
              </w:rPr>
            </w:pPr>
            <w:r>
              <w:rPr>
                <w:rFonts w:ascii="Times New Roman" w:cs="Times New Roman" w:eastAsia="Times New Roman" w:hAnsi="Times New Roman"/>
                <w:sz w:val="9"/>
                <w:szCs w:val="9"/>
                <w:color w:val="auto"/>
                <w:w w:val="88"/>
              </w:rPr>
              <w:t>— </w:t>
            </w: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jc w:val="right"/>
              <w:ind w:right="16"/>
              <w:spacing w:after="0"/>
              <w:rPr>
                <w:sz w:val="20"/>
                <w:szCs w:val="20"/>
                <w:color w:val="auto"/>
              </w:rPr>
            </w:pPr>
            <w:r>
              <w:rPr>
                <w:rFonts w:ascii="Times New Roman" w:cs="Times New Roman" w:eastAsia="Times New Roman" w:hAnsi="Times New Roman"/>
                <w:sz w:val="9"/>
                <w:szCs w:val="9"/>
                <w:color w:val="auto"/>
              </w:rPr>
              <w:t>— </w:t>
            </w:r>
          </w:p>
        </w:tc>
        <w:tc>
          <w:tcPr>
            <w:tcW w:w="40" w:type="dxa"/>
            <w:vAlign w:val="bottom"/>
          </w:tcPr>
          <w:p>
            <w:pPr>
              <w:spacing w:after="0"/>
              <w:rPr>
                <w:sz w:val="9"/>
                <w:szCs w:val="9"/>
                <w:color w:val="auto"/>
              </w:rPr>
            </w:pPr>
          </w:p>
        </w:tc>
        <w:tc>
          <w:tcPr>
            <w:tcW w:w="260" w:type="dxa"/>
            <w:vAlign w:val="bottom"/>
          </w:tcPr>
          <w:p>
            <w:pPr>
              <w:jc w:val="center"/>
              <w:ind w:left="67"/>
              <w:spacing w:after="0"/>
              <w:rPr>
                <w:sz w:val="20"/>
                <w:szCs w:val="20"/>
                <w:color w:val="auto"/>
              </w:rPr>
            </w:pPr>
            <w:r>
              <w:rPr>
                <w:rFonts w:ascii="Times New Roman" w:cs="Times New Roman" w:eastAsia="Times New Roman" w:hAnsi="Times New Roman"/>
                <w:sz w:val="9"/>
                <w:szCs w:val="9"/>
                <w:color w:val="auto"/>
                <w:w w:val="88"/>
              </w:rPr>
              <w:t>— </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jc w:val="right"/>
              <w:ind w:right="16"/>
              <w:spacing w:after="0"/>
              <w:rPr>
                <w:sz w:val="20"/>
                <w:szCs w:val="20"/>
                <w:color w:val="auto"/>
              </w:rPr>
            </w:pPr>
            <w:r>
              <w:rPr>
                <w:rFonts w:ascii="Times New Roman" w:cs="Times New Roman" w:eastAsia="Times New Roman" w:hAnsi="Times New Roman"/>
                <w:sz w:val="9"/>
                <w:szCs w:val="9"/>
                <w:color w:val="auto"/>
              </w:rPr>
              <w:t>— </w:t>
            </w:r>
          </w:p>
        </w:tc>
        <w:tc>
          <w:tcPr>
            <w:tcW w:w="20" w:type="dxa"/>
            <w:vAlign w:val="bottom"/>
          </w:tcPr>
          <w:p>
            <w:pPr>
              <w:spacing w:after="0"/>
              <w:rPr>
                <w:sz w:val="9"/>
                <w:szCs w:val="9"/>
                <w:color w:val="auto"/>
              </w:rPr>
            </w:pPr>
          </w:p>
        </w:tc>
        <w:tc>
          <w:tcPr>
            <w:tcW w:w="260" w:type="dxa"/>
            <w:vAlign w:val="bottom"/>
          </w:tcPr>
          <w:p>
            <w:pPr>
              <w:jc w:val="center"/>
              <w:ind w:left="87"/>
              <w:spacing w:after="0"/>
              <w:rPr>
                <w:sz w:val="20"/>
                <w:szCs w:val="20"/>
                <w:color w:val="auto"/>
              </w:rPr>
            </w:pPr>
            <w:r>
              <w:rPr>
                <w:rFonts w:ascii="Times New Roman" w:cs="Times New Roman" w:eastAsia="Times New Roman" w:hAnsi="Times New Roman"/>
                <w:sz w:val="9"/>
                <w:szCs w:val="9"/>
                <w:color w:val="auto"/>
                <w:w w:val="73"/>
              </w:rPr>
              <w:t>— </w:t>
            </w: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gridSpan w:val="2"/>
          </w:tcPr>
          <w:p>
            <w:pPr>
              <w:ind w:left="340"/>
              <w:spacing w:after="0"/>
              <w:rPr>
                <w:sz w:val="20"/>
                <w:szCs w:val="20"/>
                <w:color w:val="auto"/>
              </w:rPr>
            </w:pPr>
            <w:r>
              <w:rPr>
                <w:rFonts w:ascii="Times New Roman" w:cs="Times New Roman" w:eastAsia="Times New Roman" w:hAnsi="Times New Roman"/>
                <w:sz w:val="9"/>
                <w:szCs w:val="9"/>
                <w:color w:val="auto"/>
              </w:rPr>
              <w:t>— </w:t>
            </w:r>
          </w:p>
        </w:tc>
        <w:tc>
          <w:tcPr>
            <w:tcW w:w="54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— </w:t>
            </w:r>
          </w:p>
        </w:tc>
        <w:tc>
          <w:tcPr>
            <w:tcW w:w="20" w:type="dxa"/>
            <w:vAlign w:val="bottom"/>
          </w:tcPr>
          <w:p>
            <w:pPr>
              <w:spacing w:after="0"/>
              <w:rPr>
                <w:sz w:val="9"/>
                <w:szCs w:val="9"/>
                <w:color w:val="auto"/>
              </w:rPr>
            </w:pPr>
          </w:p>
        </w:tc>
        <w:tc>
          <w:tcPr>
            <w:tcW w:w="280" w:type="dxa"/>
            <w:vAlign w:val="bottom"/>
          </w:tcPr>
          <w:p>
            <w:pPr>
              <w:jc w:val="center"/>
              <w:ind w:left="130"/>
              <w:spacing w:after="0"/>
              <w:rPr>
                <w:sz w:val="20"/>
                <w:szCs w:val="20"/>
                <w:color w:val="auto"/>
              </w:rPr>
            </w:pPr>
            <w:r>
              <w:rPr>
                <w:rFonts w:ascii="Times New Roman" w:cs="Times New Roman" w:eastAsia="Times New Roman" w:hAnsi="Times New Roman"/>
                <w:sz w:val="9"/>
                <w:szCs w:val="9"/>
                <w:color w:val="auto"/>
                <w:w w:val="88"/>
              </w:rPr>
              <w:t>— </w:t>
            </w:r>
          </w:p>
        </w:tc>
        <w:tc>
          <w:tcPr>
            <w:tcW w:w="200" w:type="dxa"/>
            <w:vAlign w:val="bottom"/>
          </w:tcPr>
          <w:p>
            <w:pPr>
              <w:spacing w:after="0"/>
              <w:rPr>
                <w:sz w:val="9"/>
                <w:szCs w:val="9"/>
                <w:color w:val="auto"/>
              </w:rPr>
            </w:pPr>
          </w:p>
        </w:tc>
        <w:tc>
          <w:tcPr>
            <w:tcW w:w="340" w:type="dxa"/>
            <w:vAlign w:val="bottom"/>
          </w:tcPr>
          <w:p>
            <w:pPr>
              <w:jc w:val="center"/>
              <w:ind w:left="145"/>
              <w:spacing w:after="0"/>
              <w:rPr>
                <w:sz w:val="20"/>
                <w:szCs w:val="20"/>
                <w:color w:val="auto"/>
              </w:rPr>
            </w:pPr>
            <w:r>
              <w:rPr>
                <w:rFonts w:ascii="Times New Roman" w:cs="Times New Roman" w:eastAsia="Times New Roman" w:hAnsi="Times New Roman"/>
                <w:sz w:val="9"/>
                <w:szCs w:val="9"/>
                <w:color w:val="auto"/>
                <w:w w:val="88"/>
              </w:rPr>
              <w:t>— </w:t>
            </w:r>
          </w:p>
        </w:tc>
        <w:tc>
          <w:tcPr>
            <w:tcW w:w="200" w:type="dxa"/>
            <w:vAlign w:val="bottom"/>
          </w:tcPr>
          <w:p>
            <w:pPr>
              <w:spacing w:after="0"/>
              <w:rPr>
                <w:sz w:val="9"/>
                <w:szCs w:val="9"/>
                <w:color w:val="auto"/>
              </w:rPr>
            </w:pPr>
          </w:p>
        </w:tc>
        <w:tc>
          <w:tcPr>
            <w:tcW w:w="340" w:type="dxa"/>
            <w:vAlign w:val="bottom"/>
          </w:tcPr>
          <w:p>
            <w:pPr>
              <w:jc w:val="center"/>
              <w:ind w:left="146"/>
              <w:spacing w:after="0"/>
              <w:rPr>
                <w:sz w:val="20"/>
                <w:szCs w:val="20"/>
                <w:color w:val="auto"/>
              </w:rPr>
            </w:pPr>
            <w:r>
              <w:rPr>
                <w:rFonts w:ascii="Times New Roman" w:cs="Times New Roman" w:eastAsia="Times New Roman" w:hAnsi="Times New Roman"/>
                <w:sz w:val="9"/>
                <w:szCs w:val="9"/>
                <w:color w:val="auto"/>
                <w:w w:val="88"/>
              </w:rPr>
              <w:t>— </w:t>
            </w: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70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9"/>
                <w:szCs w:val="9"/>
                <w:color w:val="auto"/>
              </w:rPr>
              <w:t>Directors and</w:t>
            </w: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9"/>
                <w:szCs w:val="9"/>
                <w:color w:val="auto"/>
              </w:rPr>
              <w:t>executive</w:t>
            </w:r>
          </w:p>
        </w:tc>
        <w:tc>
          <w:tcPr>
            <w:tcW w:w="5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9"/>
                <w:szCs w:val="9"/>
                <w:color w:val="auto"/>
              </w:rPr>
              <w:t>officers as a</w:t>
            </w:r>
          </w:p>
        </w:tc>
        <w:tc>
          <w:tcPr>
            <w:tcW w:w="5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9"/>
                <w:szCs w:val="9"/>
                <w:color w:val="auto"/>
              </w:rPr>
              <w:t>group</w:t>
            </w:r>
          </w:p>
        </w:tc>
        <w:tc>
          <w:tcPr>
            <w:tcW w:w="5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700" w:type="dxa"/>
            <w:vAlign w:val="bottom"/>
            <w:gridSpan w:val="2"/>
            <w:shd w:val="clear" w:color="auto" w:fill="CCEEFF"/>
          </w:tcPr>
          <w:p>
            <w:pPr>
              <w:ind w:left="100"/>
              <w:spacing w:after="0" w:line="111" w:lineRule="exact"/>
              <w:rPr>
                <w:sz w:val="20"/>
                <w:szCs w:val="20"/>
                <w:color w:val="auto"/>
              </w:rPr>
            </w:pPr>
            <w:r>
              <w:rPr>
                <w:rFonts w:ascii="Times New Roman" w:cs="Times New Roman" w:eastAsia="Times New Roman" w:hAnsi="Times New Roman"/>
                <w:sz w:val="8"/>
                <w:szCs w:val="8"/>
                <w:color w:val="auto"/>
              </w:rPr>
              <w:t>(19 persons)</w:t>
            </w:r>
            <w:r>
              <w:rPr>
                <w:rFonts w:ascii="Times New Roman" w:cs="Times New Roman" w:eastAsia="Times New Roman" w:hAnsi="Times New Roman"/>
                <w:sz w:val="12"/>
                <w:szCs w:val="12"/>
                <w:color w:val="auto"/>
                <w:vertAlign w:val="superscript"/>
              </w:rPr>
              <w:t>(18)</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1,227,753</w:t>
            </w: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jc w:val="center"/>
              <w:ind w:left="8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9"/>
                <w:szCs w:val="9"/>
                <w:color w:val="auto"/>
                <w:w w:val="87"/>
              </w:rPr>
              <w:t>*</w:t>
            </w:r>
          </w:p>
        </w:tc>
        <w:tc>
          <w:tcPr>
            <w:tcW w:w="2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1,227,753</w:t>
            </w:r>
          </w:p>
        </w:tc>
        <w:tc>
          <w:tcPr>
            <w:tcW w:w="40" w:type="dxa"/>
            <w:vAlign w:val="bottom"/>
            <w:shd w:val="clear" w:color="auto" w:fill="CCEEFF"/>
          </w:tcPr>
          <w:p>
            <w:pPr>
              <w:spacing w:after="0"/>
              <w:rPr>
                <w:sz w:val="9"/>
                <w:szCs w:val="9"/>
                <w:color w:val="auto"/>
              </w:rPr>
            </w:pPr>
          </w:p>
        </w:tc>
        <w:tc>
          <w:tcPr>
            <w:tcW w:w="24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5"/>
                <w:szCs w:val="5"/>
                <w:color w:val="auto"/>
                <w:w w:val="79"/>
              </w:rPr>
              <w:t> </w:t>
            </w:r>
          </w:p>
        </w:tc>
        <w:tc>
          <w:tcPr>
            <w:tcW w:w="1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9"/>
                <w:szCs w:val="9"/>
                <w:color w:val="auto"/>
                <w:w w:val="87"/>
              </w:rPr>
              <w:t>*</w:t>
            </w: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1,227,753</w:t>
            </w: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jc w:val="center"/>
              <w:ind w:left="80"/>
              <w:spacing w:after="0"/>
              <w:rPr>
                <w:sz w:val="20"/>
                <w:szCs w:val="20"/>
                <w:color w:val="auto"/>
              </w:rPr>
            </w:pPr>
            <w:r>
              <w:rPr>
                <w:rFonts w:ascii="Times New Roman" w:cs="Times New Roman" w:eastAsia="Times New Roman" w:hAnsi="Times New Roman"/>
                <w:sz w:val="2"/>
                <w:szCs w:val="2"/>
                <w:color w:val="auto"/>
                <w:w w:val="97"/>
              </w:rPr>
              <w:t> </w:t>
            </w:r>
          </w:p>
        </w:tc>
        <w:tc>
          <w:tcPr>
            <w:tcW w:w="1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9"/>
                <w:szCs w:val="9"/>
                <w:color w:val="auto"/>
                <w:w w:val="87"/>
              </w:rPr>
              <w:t>*</w:t>
            </w: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9,286,455</w:t>
            </w:r>
          </w:p>
        </w:tc>
        <w:tc>
          <w:tcPr>
            <w:tcW w:w="460" w:type="dxa"/>
            <w:vAlign w:val="bottom"/>
            <w:gridSpan w:val="3"/>
            <w:shd w:val="clear" w:color="auto" w:fill="CCEEFF"/>
          </w:tcPr>
          <w:p>
            <w:pPr>
              <w:jc w:val="right"/>
              <w:ind w:right="35"/>
              <w:spacing w:after="0"/>
              <w:rPr>
                <w:sz w:val="20"/>
                <w:szCs w:val="20"/>
                <w:color w:val="auto"/>
              </w:rPr>
            </w:pPr>
            <w:r>
              <w:rPr>
                <w:rFonts w:ascii="Times New Roman" w:cs="Times New Roman" w:eastAsia="Times New Roman" w:hAnsi="Times New Roman"/>
                <w:sz w:val="9"/>
                <w:szCs w:val="9"/>
                <w:color w:val="auto"/>
              </w:rPr>
              <w:t>2.0%</w:t>
            </w:r>
          </w:p>
        </w:tc>
        <w:tc>
          <w:tcPr>
            <w:tcW w:w="2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9,286,455</w:t>
            </w:r>
          </w:p>
        </w:tc>
        <w:tc>
          <w:tcPr>
            <w:tcW w:w="460" w:type="dxa"/>
            <w:vAlign w:val="bottom"/>
            <w:gridSpan w:val="3"/>
            <w:shd w:val="clear" w:color="auto" w:fill="CCEEFF"/>
          </w:tcPr>
          <w:p>
            <w:pPr>
              <w:jc w:val="right"/>
              <w:ind w:right="57"/>
              <w:spacing w:after="0"/>
              <w:rPr>
                <w:sz w:val="20"/>
                <w:szCs w:val="20"/>
                <w:color w:val="auto"/>
              </w:rPr>
            </w:pPr>
            <w:r>
              <w:rPr>
                <w:rFonts w:ascii="Times New Roman" w:cs="Times New Roman" w:eastAsia="Times New Roman" w:hAnsi="Times New Roman"/>
                <w:sz w:val="9"/>
                <w:szCs w:val="9"/>
                <w:color w:val="auto"/>
              </w:rPr>
              <w:t>2.1%</w:t>
            </w: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9,286,455</w:t>
            </w:r>
          </w:p>
        </w:tc>
        <w:tc>
          <w:tcPr>
            <w:tcW w:w="460" w:type="dxa"/>
            <w:vAlign w:val="bottom"/>
            <w:gridSpan w:val="3"/>
            <w:shd w:val="clear" w:color="auto" w:fill="CCEEFF"/>
          </w:tcPr>
          <w:p>
            <w:pPr>
              <w:jc w:val="right"/>
              <w:ind w:right="55"/>
              <w:spacing w:after="0"/>
              <w:rPr>
                <w:sz w:val="20"/>
                <w:szCs w:val="20"/>
                <w:color w:val="auto"/>
              </w:rPr>
            </w:pPr>
            <w:r>
              <w:rPr>
                <w:rFonts w:ascii="Times New Roman" w:cs="Times New Roman" w:eastAsia="Times New Roman" w:hAnsi="Times New Roman"/>
                <w:sz w:val="9"/>
                <w:szCs w:val="9"/>
                <w:color w:val="auto"/>
              </w:rPr>
              <w:t>2.1%</w:t>
            </w:r>
          </w:p>
        </w:tc>
        <w:tc>
          <w:tcPr>
            <w:tcW w:w="20" w:type="dxa"/>
            <w:vAlign w:val="bottom"/>
            <w:shd w:val="clear" w:color="auto" w:fill="CCEEFF"/>
          </w:tcPr>
          <w:p>
            <w:pPr>
              <w:spacing w:after="0"/>
              <w:rPr>
                <w:sz w:val="9"/>
                <w:szCs w:val="9"/>
                <w:color w:val="auto"/>
              </w:rPr>
            </w:pPr>
          </w:p>
        </w:tc>
        <w:tc>
          <w:tcPr>
            <w:tcW w:w="5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9"/>
                <w:szCs w:val="9"/>
                <w:color w:val="auto"/>
              </w:rPr>
              <w:t>— </w:t>
            </w:r>
          </w:p>
        </w:tc>
        <w:tc>
          <w:tcPr>
            <w:tcW w:w="5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9"/>
                <w:szCs w:val="9"/>
                <w:color w:val="auto"/>
              </w:rPr>
              <w:t>— </w:t>
            </w: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2"/>
                <w:szCs w:val="2"/>
                <w:color w:val="auto"/>
                <w:w w:val="97"/>
              </w:rPr>
              <w:t> </w:t>
            </w:r>
          </w:p>
        </w:tc>
        <w:tc>
          <w:tcPr>
            <w:tcW w:w="2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9"/>
                <w:szCs w:val="9"/>
                <w:color w:val="auto"/>
                <w:w w:val="87"/>
              </w:rPr>
              <w:t>*</w:t>
            </w:r>
          </w:p>
        </w:tc>
        <w:tc>
          <w:tcPr>
            <w:tcW w:w="340" w:type="dxa"/>
            <w:vAlign w:val="bottom"/>
            <w:shd w:val="clear" w:color="auto" w:fill="CCEEFF"/>
          </w:tcPr>
          <w:p>
            <w:pPr>
              <w:jc w:val="center"/>
              <w:ind w:left="165"/>
              <w:spacing w:after="0"/>
              <w:rPr>
                <w:sz w:val="20"/>
                <w:szCs w:val="20"/>
                <w:color w:val="auto"/>
              </w:rPr>
            </w:pPr>
            <w:r>
              <w:rPr>
                <w:rFonts w:ascii="Times New Roman" w:cs="Times New Roman" w:eastAsia="Times New Roman" w:hAnsi="Times New Roman"/>
                <w:sz w:val="2"/>
                <w:szCs w:val="2"/>
                <w:color w:val="auto"/>
                <w:w w:val="97"/>
              </w:rPr>
              <w:t> </w:t>
            </w:r>
          </w:p>
        </w:tc>
        <w:tc>
          <w:tcPr>
            <w:tcW w:w="2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5"/>
                <w:szCs w:val="5"/>
                <w:color w:val="auto"/>
                <w:w w:val="78"/>
              </w:rPr>
              <w:t>*</w:t>
            </w:r>
          </w:p>
        </w:tc>
        <w:tc>
          <w:tcPr>
            <w:tcW w:w="340" w:type="dxa"/>
            <w:vAlign w:val="bottom"/>
            <w:shd w:val="clear" w:color="auto" w:fill="CCEEFF"/>
          </w:tcPr>
          <w:p>
            <w:pPr>
              <w:jc w:val="center"/>
              <w:ind w:left="166"/>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5"/>
                <w:szCs w:val="5"/>
                <w:color w:val="auto"/>
                <w:w w:val="78"/>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66040</wp:posOffset>
            </wp:positionV>
            <wp:extent cx="587375"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87375" cy="6350"/>
                    </a:xfrm>
                    <a:prstGeom prst="rect">
                      <a:avLst/>
                    </a:prstGeom>
                    <a:noFill/>
                  </pic:spPr>
                </pic:pic>
              </a:graphicData>
            </a:graphic>
          </wp:anchor>
        </w:drawing>
      </w:r>
    </w:p>
    <w:p>
      <w:pPr>
        <w:spacing w:after="0" w:line="108" w:lineRule="exact"/>
        <w:rPr>
          <w:sz w:val="20"/>
          <w:szCs w:val="20"/>
          <w:color w:val="auto"/>
        </w:rPr>
      </w:pPr>
    </w:p>
    <w:p>
      <w:pPr>
        <w:ind w:left="1740" w:hanging="338"/>
        <w:spacing w:after="0"/>
        <w:tabs>
          <w:tab w:leader="none" w:pos="1740" w:val="left"/>
        </w:tabs>
        <w:numPr>
          <w:ilvl w:val="0"/>
          <w:numId w:val="2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less than 1%.</w:t>
      </w:r>
    </w:p>
    <w:p>
      <w:pPr>
        <w:ind w:left="1740" w:right="940" w:hanging="338"/>
        <w:spacing w:after="0" w:line="224" w:lineRule="auto"/>
        <w:tabs>
          <w:tab w:leader="none" w:pos="1740" w:val="left"/>
        </w:tabs>
        <w:numPr>
          <w:ilvl w:val="0"/>
          <w:numId w:val="3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Subject to the terms of the exchange agreement, Common Units are exchangeable for shares of our Class A common stock on a one-for-one basis, subject to customary conversion rate adjustments for stock splits, stock dividends, and reclassifications, whereupon an equivalent number of shares of Class B common stock held by each such Continuing Unitholder will be automatically transferred to us and cancelled and retired upon any such exchange. See “Part III—Item 13—Certain Relationships and Related Transactions, and Director Independence” in</w:t>
      </w:r>
    </w:p>
    <w:p>
      <w:pPr>
        <w:spacing w:after="0" w:line="90"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4"/>
          <w:szCs w:val="14"/>
          <w:color w:val="auto"/>
        </w:rPr>
        <w:t>45</w:t>
      </w:r>
    </w:p>
    <w:p>
      <w:pPr>
        <w:sectPr>
          <w:pgSz w:w="11900" w:h="16838" w:orient="portrait"/>
          <w:cols w:equalWidth="0" w:num="1">
            <w:col w:w="10800"/>
          </w:cols>
          <w:pgMar w:left="300" w:top="383" w:right="7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4" w:lineRule="exact"/>
        <w:rPr>
          <w:sz w:val="20"/>
          <w:szCs w:val="20"/>
          <w:color w:val="auto"/>
        </w:rPr>
      </w:pPr>
    </w:p>
    <w:p>
      <w:pPr>
        <w:jc w:val="both"/>
        <w:ind w:left="1740" w:right="419"/>
        <w:spacing w:after="0" w:line="230" w:lineRule="auto"/>
        <w:rPr>
          <w:sz w:val="20"/>
          <w:szCs w:val="20"/>
          <w:color w:val="auto"/>
        </w:rPr>
      </w:pPr>
      <w:r>
        <w:rPr>
          <w:rFonts w:ascii="Times New Roman" w:cs="Times New Roman" w:eastAsia="Times New Roman" w:hAnsi="Times New Roman"/>
          <w:sz w:val="11"/>
          <w:szCs w:val="11"/>
          <w:color w:val="auto"/>
        </w:rPr>
        <w:t>our 2025 Form 10-K incorporated by reference in this prospectus. The Continuing Common Unitholders hold all of the issued and outstanding shares of our Class B common stock, and the number of shares of our Class B common stock listed in the table above correlates to the number of Common Units each Continuing Common Unitholder beneficially owns. Beneficial ownership of Common Units or of shares of our Class B common stock reflected in this table has not been also reflected as beneficial ownership of shares of our Class A common stock for which Common Units may be exchanged.</w:t>
      </w:r>
    </w:p>
    <w:p>
      <w:pPr>
        <w:spacing w:after="0" w:line="66" w:lineRule="exact"/>
        <w:rPr>
          <w:sz w:val="20"/>
          <w:szCs w:val="20"/>
          <w:color w:val="auto"/>
        </w:rPr>
      </w:pPr>
    </w:p>
    <w:p>
      <w:pPr>
        <w:ind w:left="1740" w:right="319" w:hanging="338"/>
        <w:spacing w:after="0" w:line="234" w:lineRule="auto"/>
        <w:tabs>
          <w:tab w:leader="none" w:pos="1740" w:val="left"/>
        </w:tabs>
        <w:numPr>
          <w:ilvl w:val="0"/>
          <w:numId w:val="3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Prior to the consummation of this offering, we will issue to certain selling stockholders 23,642,087 shares of our Class A common stock (or 27,188,400 shares of our Class A common stock if the underwriters exercise in full their option to purchase additional shares of Class A common stock) that will be issued in exchange for an equivalent number of outstanding Common Units, all of which will be sold by the selling stockholders in this offering.</w:t>
      </w:r>
    </w:p>
    <w:p>
      <w:pPr>
        <w:spacing w:after="0" w:line="56" w:lineRule="exact"/>
        <w:rPr>
          <w:rFonts w:ascii="Times New Roman" w:cs="Times New Roman" w:eastAsia="Times New Roman" w:hAnsi="Times New Roman"/>
          <w:sz w:val="11"/>
          <w:szCs w:val="11"/>
          <w:color w:val="auto"/>
        </w:rPr>
      </w:pPr>
    </w:p>
    <w:p>
      <w:pPr>
        <w:ind w:left="1740" w:right="399"/>
        <w:spacing w:after="0" w:line="230"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number of shares of Class A common stock offered by Blackstone includes: 7,899,594 shares offered for the account of BX Mozart ML-1 Holdco L.P. and 1,193,840 shares offered for the account of Mozart Aggregator UNLV Holdco L.P. (or 9,084,533 shares offered for the account of BX Mozart ML-1 Holdco L.P. and 1,372,916 shares offered for the account of Mozart Aggregator UNLV Holdco L.P. if the underwriters exercise in full their option to purchase additional shares of Class A common stock), which shares will, in each case, be issued for the account of such persons in exchange for an equivalent number of Common Units held by such persons.</w:t>
      </w:r>
    </w:p>
    <w:p>
      <w:pPr>
        <w:spacing w:after="0" w:line="55" w:lineRule="exact"/>
        <w:rPr>
          <w:rFonts w:ascii="Times New Roman" w:cs="Times New Roman" w:eastAsia="Times New Roman" w:hAnsi="Times New Roman"/>
          <w:sz w:val="11"/>
          <w:szCs w:val="11"/>
          <w:color w:val="auto"/>
        </w:rPr>
      </w:pPr>
    </w:p>
    <w:p>
      <w:pPr>
        <w:ind w:left="1740" w:right="299"/>
        <w:spacing w:after="0" w:line="234"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number of shares of Class A common stock offered by H&amp;F includes: 14,548,653 shares offered for the account of Mend Investment Holdings I, L.P. (or 16,730,951 shares offered for the account of Mend Investment Holdings I, L.P. if the underwriters exercise in full their option to purchase additional shares of Class A common stock), which shares will, in each case, be issued for the account of such person in exchange for an equivalent number of Common Units held by such person.</w:t>
      </w:r>
    </w:p>
    <w:p>
      <w:pPr>
        <w:spacing w:after="0" w:line="66" w:lineRule="exact"/>
        <w:rPr>
          <w:rFonts w:ascii="Times New Roman" w:cs="Times New Roman" w:eastAsia="Times New Roman" w:hAnsi="Times New Roman"/>
          <w:sz w:val="11"/>
          <w:szCs w:val="11"/>
          <w:color w:val="auto"/>
        </w:rPr>
      </w:pPr>
    </w:p>
    <w:p>
      <w:pPr>
        <w:ind w:left="1740" w:right="419" w:hanging="338"/>
        <w:spacing w:after="0" w:line="247" w:lineRule="auto"/>
        <w:tabs>
          <w:tab w:leader="none" w:pos="1740" w:val="left"/>
        </w:tabs>
        <w:numPr>
          <w:ilvl w:val="0"/>
          <w:numId w:val="3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percentage of voting power of the shares eligible to vote in the election of directors of Medline Inc. voting together as a single class. See “Description of Capital Stock— Common Stock.”</w:t>
      </w:r>
    </w:p>
    <w:p>
      <w:pPr>
        <w:spacing w:after="0" w:line="61" w:lineRule="exact"/>
        <w:rPr>
          <w:rFonts w:ascii="Times New Roman" w:cs="Times New Roman" w:eastAsia="Times New Roman" w:hAnsi="Times New Roman"/>
          <w:sz w:val="11"/>
          <w:szCs w:val="11"/>
          <w:color w:val="auto"/>
        </w:rPr>
      </w:pPr>
    </w:p>
    <w:p>
      <w:pPr>
        <w:ind w:left="1740" w:right="499" w:hanging="338"/>
        <w:spacing w:after="0" w:line="247" w:lineRule="auto"/>
        <w:tabs>
          <w:tab w:leader="none" w:pos="1740" w:val="left"/>
        </w:tabs>
        <w:numPr>
          <w:ilvl w:val="0"/>
          <w:numId w:val="3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Blackstone Funds that are selling stockholders in this offering are BX Mozart ML-1 Holdco, L.P., Mozart Aggregator UNLV Holdco L.P., BX Mozart ML-2 Holdco, L.P., and Mozart Aggregator II UNLV Holdco L.P. (collectively, the “Blackstone Funds”). They are offering 7,899,594, 1,193,840, 16,110,065, and 1,844,389 shares, respectively.</w:t>
      </w:r>
    </w:p>
    <w:p>
      <w:pPr>
        <w:spacing w:after="0" w:line="51" w:lineRule="exact"/>
        <w:rPr>
          <w:rFonts w:ascii="Times New Roman" w:cs="Times New Roman" w:eastAsia="Times New Roman" w:hAnsi="Times New Roman"/>
          <w:sz w:val="11"/>
          <w:szCs w:val="11"/>
          <w:color w:val="auto"/>
        </w:rPr>
      </w:pPr>
    </w:p>
    <w:p>
      <w:pPr>
        <w:ind w:left="1740" w:right="299"/>
        <w:spacing w:after="0" w:line="225"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Reflects 10,185 shares of Class A common stock and 46,729,808 shares of Class B common stock directly held by BX Mozart ML-1 Holdco L.P., 1,539 shares of Class A common stock and 7,062,123 shares of Class B common stock directly held by Mozart Aggregator UNLV Holdco L.P., 93,140,174 shares of Class A common stock directly held by BX Mozart ML-2 Holdco L.P., 10,663,315 shares of Class A common stock directly held by Mozart Aggregator II UNLV Holdco L.P., and 2,428,681 shares of Class A common stock directly held by Mozart Aggregator II LP. Does not reflect any reduction in beneficial ownership associated with any distributions of shares of Class A common stock in kind to certain of its affiliates and limited partners following the consummation of this offering. Any recipients of such distributions would be subject to a lock-up agreement with the underwriters. It is expected that the Blackstone Funds will act as selling stockholders with respect to the shares they directly hold and the shares that they receive in exchange for Common Units.</w:t>
      </w:r>
    </w:p>
    <w:p>
      <w:pPr>
        <w:spacing w:after="0" w:line="57" w:lineRule="exact"/>
        <w:rPr>
          <w:rFonts w:ascii="Times New Roman" w:cs="Times New Roman" w:eastAsia="Times New Roman" w:hAnsi="Times New Roman"/>
          <w:sz w:val="11"/>
          <w:szCs w:val="11"/>
          <w:color w:val="auto"/>
        </w:rPr>
      </w:pPr>
    </w:p>
    <w:p>
      <w:pPr>
        <w:ind w:left="1740" w:right="439"/>
        <w:spacing w:after="0" w:line="247"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BX Mozart ML-1 Holdco GP L.L.C. is the general partner of BX Mozart ML-1 Holdco L.P. BCP Mozart Aggregator L.P. is the managing member of BX Mozart ML-1 Holdco GP L.L.C.</w:t>
      </w:r>
    </w:p>
    <w:p>
      <w:pPr>
        <w:spacing w:after="0" w:line="51" w:lineRule="exact"/>
        <w:rPr>
          <w:rFonts w:ascii="Times New Roman" w:cs="Times New Roman" w:eastAsia="Times New Roman" w:hAnsi="Times New Roman"/>
          <w:sz w:val="11"/>
          <w:szCs w:val="11"/>
          <w:color w:val="auto"/>
        </w:rPr>
      </w:pPr>
    </w:p>
    <w:p>
      <w:pPr>
        <w:ind w:left="1740"/>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BCP 8 Holdings Mozart Manager L.L.C. is the general partner of BCP Mozart Aggregator L.P. BMA VIII L.L.C. is the managing member of BCP 8 Holdings Mozart Manager L.L.C.</w:t>
      </w:r>
    </w:p>
    <w:p>
      <w:pPr>
        <w:spacing w:after="0" w:line="71" w:lineRule="exact"/>
        <w:rPr>
          <w:rFonts w:ascii="Times New Roman" w:cs="Times New Roman" w:eastAsia="Times New Roman" w:hAnsi="Times New Roman"/>
          <w:sz w:val="11"/>
          <w:szCs w:val="11"/>
          <w:color w:val="auto"/>
        </w:rPr>
      </w:pPr>
    </w:p>
    <w:p>
      <w:pPr>
        <w:ind w:left="1740" w:right="599"/>
        <w:spacing w:after="0" w:line="247"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BCP 8 Holdings Mozart Manager L.L.C. is the general partner of Mozart Aggregator UNLV Holdco L.P. BMA VIII L.L.C. is the managing member of BCP 8 Holdings Mozart Manager L.L.C.</w:t>
      </w:r>
    </w:p>
    <w:p>
      <w:pPr>
        <w:spacing w:after="0" w:line="51" w:lineRule="exact"/>
        <w:rPr>
          <w:rFonts w:ascii="Times New Roman" w:cs="Times New Roman" w:eastAsia="Times New Roman" w:hAnsi="Times New Roman"/>
          <w:sz w:val="11"/>
          <w:szCs w:val="11"/>
          <w:color w:val="auto"/>
        </w:rPr>
      </w:pPr>
    </w:p>
    <w:p>
      <w:pPr>
        <w:ind w:left="1740"/>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BX Mozart ML-2 Holdco GP L.L.C. is the general partner of BX Mozart ML-2 Holdco L.P. Mozart Aggregator II LP is the managing member of BX Mozart ML-2 Holdco GP L.L.C.</w:t>
      </w:r>
    </w:p>
    <w:p>
      <w:pPr>
        <w:spacing w:after="0" w:line="71" w:lineRule="exact"/>
        <w:rPr>
          <w:rFonts w:ascii="Times New Roman" w:cs="Times New Roman" w:eastAsia="Times New Roman" w:hAnsi="Times New Roman"/>
          <w:sz w:val="11"/>
          <w:szCs w:val="11"/>
          <w:color w:val="auto"/>
        </w:rPr>
      </w:pPr>
    </w:p>
    <w:p>
      <w:pPr>
        <w:ind w:left="1740" w:right="419"/>
        <w:spacing w:after="0" w:line="247"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Blackstone Management Associates VIII L.P. is the general partner of Mozart Aggregator II LP. BMA VIII L.L.C. is the general partner of Blackstone Management Associates VIII L.P.</w:t>
      </w:r>
    </w:p>
    <w:p>
      <w:pPr>
        <w:spacing w:after="0" w:line="51" w:lineRule="exact"/>
        <w:rPr>
          <w:rFonts w:ascii="Times New Roman" w:cs="Times New Roman" w:eastAsia="Times New Roman" w:hAnsi="Times New Roman"/>
          <w:sz w:val="11"/>
          <w:szCs w:val="11"/>
          <w:color w:val="auto"/>
        </w:rPr>
      </w:pPr>
    </w:p>
    <w:p>
      <w:pPr>
        <w:ind w:left="1740" w:right="439"/>
        <w:spacing w:after="0" w:line="247"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Blackstone Management Associates VIII L.P. is the general partner of Mozart Aggregator II UNLV Holdco L.P. BMA VIII L.L.C. is the general partner of Blackstone Management Associates VIII L.P.</w:t>
      </w:r>
    </w:p>
    <w:p>
      <w:pPr>
        <w:spacing w:after="0" w:line="51" w:lineRule="exact"/>
        <w:rPr>
          <w:rFonts w:ascii="Times New Roman" w:cs="Times New Roman" w:eastAsia="Times New Roman" w:hAnsi="Times New Roman"/>
          <w:sz w:val="11"/>
          <w:szCs w:val="11"/>
          <w:color w:val="auto"/>
        </w:rPr>
      </w:pPr>
    </w:p>
    <w:p>
      <w:pPr>
        <w:ind w:left="1740"/>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Blackstone Holdings II L.P. is the managing member of BMA VIII L.L.C. Blackstone Holdings I/II GP L.L.C. is the general partner of Blackstone Holdings II L.P.</w:t>
      </w:r>
    </w:p>
    <w:p>
      <w:pPr>
        <w:spacing w:after="0" w:line="71" w:lineRule="exact"/>
        <w:rPr>
          <w:rFonts w:ascii="Times New Roman" w:cs="Times New Roman" w:eastAsia="Times New Roman" w:hAnsi="Times New Roman"/>
          <w:sz w:val="11"/>
          <w:szCs w:val="11"/>
          <w:color w:val="auto"/>
        </w:rPr>
      </w:pPr>
    </w:p>
    <w:p>
      <w:pPr>
        <w:ind w:left="1740" w:right="339"/>
        <w:spacing w:after="0" w:line="247"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Blackstone Inc. is the sole member of Blackstone Holdings I/II GP L.L.C. The sole holder of the Series II preferred stock of Blackstone Inc. is Blackstone Group Management L.L.C. Blackstone Group Management L.L.C. is wholly-owned by Blackstone’s senior managing directors and controlled by its founder, Stephen A. Schwarzman.</w:t>
      </w:r>
    </w:p>
    <w:p>
      <w:pPr>
        <w:spacing w:after="0" w:line="51" w:lineRule="exact"/>
        <w:rPr>
          <w:rFonts w:ascii="Times New Roman" w:cs="Times New Roman" w:eastAsia="Times New Roman" w:hAnsi="Times New Roman"/>
          <w:sz w:val="11"/>
          <w:szCs w:val="11"/>
          <w:color w:val="auto"/>
        </w:rPr>
      </w:pPr>
    </w:p>
    <w:p>
      <w:pPr>
        <w:ind w:left="1740" w:right="579"/>
        <w:spacing w:after="0" w:line="234"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Each of the Blackstone entities described in this footnote and Stephen A. Schwarzman may be deemed to beneficially own the securities directly or indirectly controlled by such Blackstone entities or him, but each disclaims beneficial ownership of such securities (other than the Blackstone Funds to the extent of their direct holdings). The address of Mr. Schwarzman and each of the other entities listed in this footnote is c/o Blackstone Inc., 345 Park Avenue, New York, New York 10154.</w:t>
      </w:r>
    </w:p>
    <w:p>
      <w:pPr>
        <w:spacing w:after="0" w:line="56" w:lineRule="exact"/>
        <w:rPr>
          <w:rFonts w:ascii="Times New Roman" w:cs="Times New Roman" w:eastAsia="Times New Roman" w:hAnsi="Times New Roman"/>
          <w:sz w:val="11"/>
          <w:szCs w:val="11"/>
          <w:color w:val="auto"/>
        </w:rPr>
      </w:pPr>
    </w:p>
    <w:p>
      <w:pPr>
        <w:ind w:left="1740" w:right="379"/>
        <w:spacing w:after="0" w:line="247"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Based on information provided to us, as of the date of this prospectus, certain of the Blackstone Funds have pledged, hypothecated, or granted security interests in substantially all of the shares of Class A common stock and Class B common stock held by them pursuant to</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46</w:t>
      </w:r>
    </w:p>
    <w:p>
      <w:pPr>
        <w:sectPr>
          <w:pgSz w:w="11900" w:h="16838" w:orient="portrait"/>
          <w:cols w:equalWidth="0" w:num="1">
            <w:col w:w="10159"/>
          </w:cols>
          <w:pgMar w:left="300" w:top="383" w:right="14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4" w:lineRule="exact"/>
        <w:rPr>
          <w:sz w:val="20"/>
          <w:szCs w:val="20"/>
          <w:color w:val="auto"/>
        </w:rPr>
      </w:pPr>
    </w:p>
    <w:p>
      <w:pPr>
        <w:ind w:left="1740" w:right="299"/>
        <w:spacing w:after="0" w:line="247" w:lineRule="auto"/>
        <w:rPr>
          <w:sz w:val="20"/>
          <w:szCs w:val="20"/>
          <w:color w:val="auto"/>
        </w:rPr>
      </w:pPr>
      <w:r>
        <w:rPr>
          <w:rFonts w:ascii="Times New Roman" w:cs="Times New Roman" w:eastAsia="Times New Roman" w:hAnsi="Times New Roman"/>
          <w:sz w:val="11"/>
          <w:szCs w:val="11"/>
          <w:color w:val="auto"/>
        </w:rPr>
        <w:t>a margin loan agreement with customary default provisions. In the event of a default under the margin loan agreement, the secured parties may foreclose upon any and all of the shares of Class A common stock or of Class B common stock pledged to them and may seek recourse against the borrowers.</w:t>
      </w:r>
    </w:p>
    <w:p>
      <w:pPr>
        <w:spacing w:after="0" w:line="62" w:lineRule="exact"/>
        <w:rPr>
          <w:sz w:val="20"/>
          <w:szCs w:val="20"/>
          <w:color w:val="auto"/>
        </w:rPr>
      </w:pPr>
    </w:p>
    <w:p>
      <w:pPr>
        <w:ind w:left="1740" w:right="299" w:hanging="338"/>
        <w:spacing w:after="0" w:line="222" w:lineRule="auto"/>
        <w:tabs>
          <w:tab w:leader="none" w:pos="1740" w:val="left"/>
        </w:tabs>
        <w:numPr>
          <w:ilvl w:val="0"/>
          <w:numId w:val="3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Reflects 9,454 shares of Class A common stock and 48,274,351 shares of Class B common stock directly held by CP Circle ML-1 Holdco, L.P., 2,615 shares of Class A common stock and 13,355,121 shares of Class B common stock directly held by CP Circle UNLV Holdco, L.P., 233,231 shares of Class A common stock directly held by CP Circle ML-2 Holdco, L.P., 50,719,101 shares of Class A common stock directly held by CP Circle ML-3 Holdco, L.P., 23,161,715 shares of Class A common stock directly held by CP Circle ML-4 Holdco, L.P., 5,748,101 shares of Class A common stock directly held by CP Circle ML-5 Holdco, L.P., 2,120,434 shares of Class A common stock directly held by CP Circle ML-6 Holdco, L.P., 15,325,210 shares of Class A common stock directly held by CP Circle ML-7 Holdco, L.P., 13,394,165 shares of Class A common stock directly held by Carlyle Mozart Coinvestment UNLV Holdco, L.P., 14,011,611 shares of Class A common stock directly held by Carlyle Mozart Coinvestment Holdings, L.P., and 728,604 shares of Class A common stock directly held by CPEP Circle Holdings L.P. (Carlyle Mozart Coinvestment Holdings, L.P., Carlyle Mozart Coinvestment UNLV Holdco, L.P., CP Circle ML-7 Holdco, L.P., CP Circle ML-6 Holdco, L.P., CP Circle ML-5 Holdco, L.P., CP Circle ML-4 Holdco, L.P., CP Circle ML-3 Holdco, L.P., CP Circle ML-2 Holdco, L.P., CP Circle ML-1 Holdco, L.P., CP Circle UNLV Holdco, L.P., and CPEP Circle Holdings L.P., collectively, the “Carlyle Funds”).</w:t>
      </w:r>
    </w:p>
    <w:p>
      <w:pPr>
        <w:spacing w:after="0" w:line="59" w:lineRule="exact"/>
        <w:rPr>
          <w:rFonts w:ascii="Times New Roman" w:cs="Times New Roman" w:eastAsia="Times New Roman" w:hAnsi="Times New Roman"/>
          <w:sz w:val="11"/>
          <w:szCs w:val="11"/>
          <w:color w:val="auto"/>
        </w:rPr>
      </w:pPr>
    </w:p>
    <w:p>
      <w:pPr>
        <w:ind w:left="1740" w:right="279"/>
        <w:spacing w:after="0" w:line="223"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Carlyle Group Inc., a publicly traded company listed on Nasdaq, is the sole shareholder of Carlyle Holdings I GP Inc., which is the sole member of Carlyle Holdings I GP Sub L.L.C., which is the general partner of Carlyle Holdings I L.P., which, with respect to the securities managed by TC Group VII S1, L.P. and CPEP GP, LLC, is the managing member of CG Subsidiary Holdings L.L.C., which is the sole member of TC Group, L.L.C., which is the general partner of TC Group Sub L.P., which is the managing member of TC Group VII S1, L.L.C., which is the general partner of TC Group VII S1, L.P., which is the general partner of each of Carlyle Mozart Coinvestment Holdings, L.P., CP Circle Holdings, L.P., CP Circle UNLV Holdco, L.P., Carlyle Mozart Coinvestment UNLV Holdco, L.P., and CP VII Circle Holdings – A, L.P., which is the managing member of CP Circle ML Holdco GP, LLC, which is the general partner of each of CP Circle ML-7 Holdco, L.P., CP Circle ML-6 Holdco, L.P., CP Circle ML-5 Holdco, L.P., CP Circle ML-4 Holdco, L.P., CP Circle ML-3 Holdco, L.P. and CP Circle ML-2 Holdco, L.P. CP Circle Holdings, L.P. is the managing member of CP Circle ML-1 Holdco GP, LLC, which is the general partner of CP Circle ML-1 Holdco, L.P.</w:t>
      </w:r>
    </w:p>
    <w:p>
      <w:pPr>
        <w:spacing w:after="0" w:line="57" w:lineRule="exact"/>
        <w:rPr>
          <w:rFonts w:ascii="Times New Roman" w:cs="Times New Roman" w:eastAsia="Times New Roman" w:hAnsi="Times New Roman"/>
          <w:sz w:val="11"/>
          <w:szCs w:val="11"/>
          <w:color w:val="auto"/>
        </w:rPr>
      </w:pPr>
    </w:p>
    <w:p>
      <w:pPr>
        <w:ind w:left="1740" w:right="339"/>
        <w:spacing w:after="0" w:line="247"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CG Subsidiary Holdings L.L.C. is also the sole shareholder of TC Group VIII Lux GP, S.à r.l., which is the Luxembourg general partner of CP VIII Circle AIF Holdings, S.C.Sp., and the managing member of CPEP GP, LLC, which is the general partner of CPEP Circle Holdings L.P.</w:t>
      </w:r>
    </w:p>
    <w:p>
      <w:pPr>
        <w:spacing w:after="0" w:line="51" w:lineRule="exact"/>
        <w:rPr>
          <w:rFonts w:ascii="Times New Roman" w:cs="Times New Roman" w:eastAsia="Times New Roman" w:hAnsi="Times New Roman"/>
          <w:sz w:val="11"/>
          <w:szCs w:val="11"/>
          <w:color w:val="auto"/>
        </w:rPr>
      </w:pPr>
    </w:p>
    <w:p>
      <w:pPr>
        <w:ind w:left="1740" w:right="419"/>
        <w:spacing w:after="0" w:line="227"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Voting and investment determinations with respect to the securities held by the Carlyle VII Funds are made by the investment committee of TC Group VII S1, L.P. Voting and investment determinations with respect to the securities held by the Carlyle VIII Funds are made by the investment committee of TC Group VIII, L.P. Each of these investment committees is comprised of William Conway, Jr., Daniel D’Aniello, David Rubenstein, Allan Holt, Sandra Horbach, Brian Bernasek, James Burr, Ian Fujiyama, Patrick McCarter, William McMullan, Martin Sumner, Stephen Wise, Robert Schmidt, Joe Bress, Jeremy Anderson and Marco De Benedetti as a non-voting observer. Each member of the investment committees disclaims beneficial ownership of all such securities.</w:t>
      </w:r>
    </w:p>
    <w:p>
      <w:pPr>
        <w:spacing w:after="0" w:line="56" w:lineRule="exact"/>
        <w:rPr>
          <w:rFonts w:ascii="Times New Roman" w:cs="Times New Roman" w:eastAsia="Times New Roman" w:hAnsi="Times New Roman"/>
          <w:sz w:val="11"/>
          <w:szCs w:val="11"/>
          <w:color w:val="auto"/>
        </w:rPr>
      </w:pPr>
    </w:p>
    <w:p>
      <w:pPr>
        <w:jc w:val="both"/>
        <w:ind w:left="1740" w:right="359"/>
        <w:spacing w:after="0" w:line="234"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Additionally, voting and investment determinations with respect to the securities held by CPEP Circle Holdings L.P. are made by the investment committee of CPEP GP, LLC, which is comprised of David Rubenstein, Sandra Horbach, John C. Redett, John Pavelski, Brian Bernasek, and Jason Thomas, with Michael Wand, Vlad Lasocki, X.D. Yang, and Kazuhiro Yamada serving as non-voting observers. Each member of the investment committees disclaims beneficial ownership of all such securities.</w:t>
      </w:r>
    </w:p>
    <w:p>
      <w:pPr>
        <w:spacing w:after="0" w:line="56" w:lineRule="exact"/>
        <w:rPr>
          <w:rFonts w:ascii="Times New Roman" w:cs="Times New Roman" w:eastAsia="Times New Roman" w:hAnsi="Times New Roman"/>
          <w:sz w:val="11"/>
          <w:szCs w:val="11"/>
          <w:color w:val="auto"/>
        </w:rPr>
      </w:pPr>
    </w:p>
    <w:p>
      <w:pPr>
        <w:ind w:left="1740" w:right="319"/>
        <w:spacing w:after="0" w:line="234"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address for TC Group VII Lux GP, S.à r.l. is c/o The Carlyle Group 2, avenue Charles de Gaulle, L-1653 Luxembourg, Luxembourg. The address for each of TC Group VIII Lux GP, S.à r.l., CP VII Circle AIF Holdings, S.C.Sp. and CP VIII Circle AIF Holdings, S.C.Sp. is 9, rue de Bitbourg, L-1273 Luxembourg, Grand Duchy of Luxembourg. The address for each of the other entities named in this footnote is c/o The Carlyle Group, 1001 Pennsylvania Avenue, NW, Suite 220 South, Washington, D.C. 20004.</w:t>
      </w:r>
    </w:p>
    <w:p>
      <w:pPr>
        <w:spacing w:after="0" w:line="56" w:lineRule="exact"/>
        <w:rPr>
          <w:rFonts w:ascii="Times New Roman" w:cs="Times New Roman" w:eastAsia="Times New Roman" w:hAnsi="Times New Roman"/>
          <w:sz w:val="11"/>
          <w:szCs w:val="11"/>
          <w:color w:val="auto"/>
        </w:rPr>
      </w:pPr>
    </w:p>
    <w:p>
      <w:pPr>
        <w:ind w:left="1740" w:right="279"/>
        <w:spacing w:after="0" w:line="230"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Based on information provided to us, as of the date of this prospectus, certain of the Carlyle Funds have pledged, hypothecated, or granted security interests in substantially all of the shares of Class A common stock and Class B common stock held by them pursuant to a margin loan agreement with customary default provisions. In the event of a default under the margin loan agreement, the secured parties may foreclose upon any and all of the shares of Class A common stock or of Class B common stock pledged to them and may seek recourse against the borrowers.</w:t>
      </w:r>
    </w:p>
    <w:p>
      <w:pPr>
        <w:spacing w:after="0" w:line="66" w:lineRule="exact"/>
        <w:rPr>
          <w:rFonts w:ascii="Times New Roman" w:cs="Times New Roman" w:eastAsia="Times New Roman" w:hAnsi="Times New Roman"/>
          <w:sz w:val="11"/>
          <w:szCs w:val="11"/>
          <w:color w:val="auto"/>
        </w:rPr>
      </w:pPr>
    </w:p>
    <w:p>
      <w:pPr>
        <w:ind w:left="1740" w:right="519" w:hanging="338"/>
        <w:spacing w:after="0" w:line="247" w:lineRule="auto"/>
        <w:tabs>
          <w:tab w:leader="none" w:pos="1740" w:val="left"/>
        </w:tabs>
        <w:numPr>
          <w:ilvl w:val="0"/>
          <w:numId w:val="3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Hellman &amp; Friedman Capital Partners X (Parallel), L.P., HFCP X (Parallel – A), L.P., Mend Partners II, L.P., and Mend Investment Holdings I, L.P. (collectively referred to as the “H&amp;F Funds”) will be selling stockholders in this offering. They are offering 10,770,388, 1,125,063, 603,784, and 14,548,653 shares, respectively.</w:t>
      </w:r>
    </w:p>
    <w:p>
      <w:pPr>
        <w:spacing w:after="0" w:line="51" w:lineRule="exact"/>
        <w:rPr>
          <w:rFonts w:ascii="Times New Roman" w:cs="Times New Roman" w:eastAsia="Times New Roman" w:hAnsi="Times New Roman"/>
          <w:sz w:val="11"/>
          <w:szCs w:val="11"/>
          <w:color w:val="auto"/>
        </w:rPr>
      </w:pPr>
    </w:p>
    <w:p>
      <w:pPr>
        <w:ind w:left="1740" w:right="319"/>
        <w:spacing w:after="0" w:line="225"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Reflects 63,725,784 shares of Class A common stock held by Hellman &amp; Friedman Capital Partners X (Parallel), L.P., 6,656,725 shares of Class A common stock held by HFCP X (Parallel – A), L.P., 3,572,443 shares of Class A common stock held by Mend Partners II, L.P. and 19,310 shares of Class A common stock and 86,061,563 shares of Class B common stock held by Mend Investment Holdings I, L.P. Does not reflect any reduction in beneficial ownership associated with any distributions or contributions of shares of Class A common stock in kind to certain of their affiliates and limited partners in connection with the consummation of this offering. Any recipients of such distributions or contributions would be subject to a lock-up agreement with the underwriters. It is expected that Mend Investment Holdings I, L.P. will act as selling stockholder with respect to the shares that it receives in exchange for Common Units.</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47</w:t>
      </w:r>
    </w:p>
    <w:p>
      <w:pPr>
        <w:sectPr>
          <w:pgSz w:w="11900" w:h="16838" w:orient="portrait"/>
          <w:cols w:equalWidth="0" w:num="1">
            <w:col w:w="10159"/>
          </w:cols>
          <w:pgMar w:left="300" w:top="383"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1"/>
          <w:szCs w:val="11"/>
          <w:color w:val="auto"/>
        </w:rPr>
        <w:t>Hellman &amp; Friedman Investors X, L.P. (“Investors X GP”) is the general partner of Hellman &amp; Friedman Capital Partners X (Parallel), L.P. and HFCP X (Parallel – A), L.P.</w:t>
      </w:r>
    </w:p>
    <w:p>
      <w:pPr>
        <w:spacing w:after="0" w:line="7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1"/>
          <w:szCs w:val="11"/>
          <w:color w:val="auto"/>
        </w:rPr>
        <w:t>Mend Partners GP, LLC (“Mend GP”) is the general partner of Mend Partners II, L.P. Investors X GP is the managing member of Mend GP.</w:t>
      </w:r>
    </w:p>
    <w:p>
      <w:pPr>
        <w:spacing w:after="0" w:line="71" w:lineRule="exact"/>
        <w:rPr>
          <w:sz w:val="20"/>
          <w:szCs w:val="20"/>
          <w:color w:val="auto"/>
        </w:rPr>
      </w:pPr>
    </w:p>
    <w:p>
      <w:pPr>
        <w:ind w:left="1740" w:right="719"/>
        <w:spacing w:after="0" w:line="247" w:lineRule="auto"/>
        <w:rPr>
          <w:sz w:val="20"/>
          <w:szCs w:val="20"/>
          <w:color w:val="auto"/>
        </w:rPr>
      </w:pPr>
      <w:r>
        <w:rPr>
          <w:rFonts w:ascii="Times New Roman" w:cs="Times New Roman" w:eastAsia="Times New Roman" w:hAnsi="Times New Roman"/>
          <w:sz w:val="11"/>
          <w:szCs w:val="11"/>
          <w:color w:val="auto"/>
        </w:rPr>
        <w:t>Mend Investment Holdings GP, LLC (“Mend Investment GP”) is the general partner of Mend Investment Holdings I, L.P. Hellman &amp; Friedman Capital Partners X, L.P. is the managing member of Mend Investment GP. Investors X GP is the general partner of Hellman &amp; Friedman Capital Partners X, L.P.</w:t>
      </w:r>
    </w:p>
    <w:p>
      <w:pPr>
        <w:spacing w:after="0" w:line="52" w:lineRule="exact"/>
        <w:rPr>
          <w:sz w:val="20"/>
          <w:szCs w:val="20"/>
          <w:color w:val="auto"/>
        </w:rPr>
      </w:pPr>
    </w:p>
    <w:p>
      <w:pPr>
        <w:ind w:left="1740" w:right="479"/>
        <w:spacing w:after="0" w:line="234" w:lineRule="auto"/>
        <w:rPr>
          <w:sz w:val="20"/>
          <w:szCs w:val="20"/>
          <w:color w:val="auto"/>
        </w:rPr>
      </w:pPr>
      <w:r>
        <w:rPr>
          <w:rFonts w:ascii="Times New Roman" w:cs="Times New Roman" w:eastAsia="Times New Roman" w:hAnsi="Times New Roman"/>
          <w:sz w:val="11"/>
          <w:szCs w:val="11"/>
          <w:color w:val="auto"/>
        </w:rPr>
        <w:t>H&amp;F Corporate Investors X, Ltd. (“Investors X Ltd.”) is the general partner of Investors X GP. A three-member board of directors of Investors X Ltd. has voting and investment discretion over the shares held by the H&amp;F Funds. Each of the members of the board of directors of Investors X Ltd. disclaims beneficial ownership of such shares. The address of each entity referred to in this footnote is c/o Hellman &amp; Friedman LLC, 415 Mission Street, Suite 5700, San Francisco, California 94105.</w:t>
      </w:r>
    </w:p>
    <w:p>
      <w:pPr>
        <w:spacing w:after="0" w:line="140" w:lineRule="exact"/>
        <w:rPr>
          <w:sz w:val="20"/>
          <w:szCs w:val="20"/>
          <w:color w:val="auto"/>
        </w:rPr>
      </w:pPr>
    </w:p>
    <w:p>
      <w:pPr>
        <w:jc w:val="both"/>
        <w:ind w:left="1740" w:right="399" w:hanging="338"/>
        <w:spacing w:after="0" w:line="224" w:lineRule="auto"/>
        <w:tabs>
          <w:tab w:leader="none" w:pos="1740" w:val="left"/>
        </w:tabs>
        <w:numPr>
          <w:ilvl w:val="0"/>
          <w:numId w:val="3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Mozart HoldCo, Inc. is an entity that is owned directly and/or indirectly by members of the Mills Family and trusts for their benefit. No person or group beneficially owns more than fifty percent of the voting power of Mozart HoldCo, Inc. Investment and voting decisions over the securities of Medline Inc. and Medline Holdings, LP held by Mozart HoldCo, Inc. are made by a board of directors consisting of three or more directors. See “Description of Capital Stock—Common Stock—Mills Family Voting Cap.”</w:t>
      </w:r>
    </w:p>
    <w:p>
      <w:pPr>
        <w:ind w:left="1740" w:right="359" w:hanging="338"/>
        <w:spacing w:after="0" w:line="217" w:lineRule="auto"/>
        <w:tabs>
          <w:tab w:leader="none" w:pos="1740" w:val="left"/>
        </w:tabs>
        <w:numPr>
          <w:ilvl w:val="0"/>
          <w:numId w:val="3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118,796,825 shares of Class A common stock are beneficially owned by GIC Private Limited (“GIC”) and its affiliate, Hux Investment Pte. Ltd. GIC and Hux share the power to vote and the power to dispose of these shares with GIC Special Investments Pte. Ltd. (“GIC SI”). GIC and GIC SI are private limited companies incorporated in Singapore. GIC SI is wholly-owned by GIC and is the private equity investment arm of GIC. GIC is wholly-owned by the Government of Singapore and was set up with the sole purpose of managing the Government of Singapore’s foreign reserves. The Government of Singapore disclaims beneficial ownership of such shares. The address for GIC and Hux is 168 Robinson Road, #37-01 Capital Tower, Singapore 068912.</w:t>
      </w:r>
    </w:p>
    <w:p>
      <w:pPr>
        <w:ind w:left="1740" w:right="379" w:hanging="338"/>
        <w:spacing w:after="0" w:line="217" w:lineRule="auto"/>
        <w:tabs>
          <w:tab w:leader="none" w:pos="1740" w:val="left"/>
        </w:tabs>
        <w:numPr>
          <w:ilvl w:val="0"/>
          <w:numId w:val="3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Platinum Falcon B 2018 RSC Limited will be a selling stockholder in this offering. It is offering 5,904,224 shares of Class A common stock. The 35,451,116 shares of Class A common stock are held by Abu Dhabi Investment Authority (“ADIA”), directly or through one or more of its direct or indirect subsidiaries, including primarily Platinum Falcon B 2018 RSC Limited, a restricted scope company incorporated in the Abu Dhabi Global Market. ADIA is a public institution established by the Government of the Emirate of Abu Dhabi. The address for ADIA is 211 Corniche Street, P.O. Box 3600, Abu Dhabi, United Arab Emirates and the address for Platinum Falcon B 2018 RSC Limited is Level 26, Al Khatem Tower, Abu Dhabi Global Market Square, Al Maryah Island, Abu Dhabi, United Arab Emirates. By reason of its ownership of Platinum Falcon and pursuant to the rules and regulations of the SEC, ADIA may also be deemed to share investment and voting power over and, therefore, beneficial ownership of, the shares held directly by Platinum Falcon.</w:t>
      </w:r>
    </w:p>
    <w:p>
      <w:pPr>
        <w:ind w:left="1740" w:right="319" w:hanging="338"/>
        <w:spacing w:after="0" w:line="217" w:lineRule="auto"/>
        <w:tabs>
          <w:tab w:leader="none" w:pos="1740" w:val="left"/>
        </w:tabs>
        <w:numPr>
          <w:ilvl w:val="0"/>
          <w:numId w:val="3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Reflects (a) 24,313 shares of Class B common stock corresponding to an equivalent number of outstanding Common Units held by Mr. Boyle, (b) 514,876 shares of Class B common stock corresponding to an equivalent number of outstanding Common Units held by a trust over which Mr. Boyle’s spouse is a trustee, (c) 979,718 shares of Class B common stock corresponding to an equivalent number of Common Units which would be received within 60 days of May 4, 2026 upon the conversion of vested Incentive Units held by Mr. Boyle at a conversion price of $44.19 per share of Class A common stock (the closing sales price per share of Class A common stock on such date as reported on Nasdaq), and (d)</w:t>
      </w:r>
    </w:p>
    <w:p>
      <w:pPr>
        <w:ind w:left="1740" w:right="279"/>
        <w:spacing w:after="0" w:line="217"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684,532 shares of Class B common stock corresponding to an equivalent number of Common Units which would be received within 60 days of May 4, 2026 upon the conversion of vested Incentive Units held by a trust over which Mr. Boyle’s spouse is a trustee at a conversion price of $44.19 per share of Class A common stock (the closing sales price per share of Class A common stock on such date as reported on Nasdaq).</w:t>
      </w:r>
    </w:p>
    <w:p>
      <w:pPr>
        <w:jc w:val="both"/>
        <w:ind w:left="1740" w:right="339" w:hanging="338"/>
        <w:spacing w:after="0" w:line="217" w:lineRule="auto"/>
        <w:tabs>
          <w:tab w:leader="none" w:pos="1740" w:val="left"/>
        </w:tabs>
        <w:numPr>
          <w:ilvl w:val="0"/>
          <w:numId w:val="3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Reflects (a) 1,206,467 shares of Class B common stock corresponding to an equivalent number of outstanding Common Units held by trusts over which Mr. Pigott is a trustee and (b) 1,630,564 shares of Class B common stock corresponding to an equivalent number of Common Units which would be received within 60 days of May 4, 2026 upon the conversion of vested Incentive Units held by trusts over which Mr. Pigott is a trustee at a conversion price of $44.19 per share of Class A common stock (the closing sales price per share of Class A common stock on such date as reported on Nasdaq).</w:t>
      </w:r>
    </w:p>
    <w:p>
      <w:pPr>
        <w:ind w:left="1740" w:right="379" w:hanging="338"/>
        <w:spacing w:after="0" w:line="217" w:lineRule="auto"/>
        <w:tabs>
          <w:tab w:leader="none" w:pos="1740" w:val="left"/>
        </w:tabs>
        <w:numPr>
          <w:ilvl w:val="0"/>
          <w:numId w:val="3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Reflects (a) 486,028 shares of Class B common stock corresponding to an equivalent number of outstanding Common Units held by Mr. Drazin and (b) 1,226,813 shares of Class B common stock corresponding to an equivalent number of Common Units which would be received within 60 days of May 4, 2026 upon the conversion of vested Incentive Units held by Mr. Drazin at a conversion price of $44.19 per share of Class A common stock (the closing sales price per share of Class A common stock on such date as reported on Nasdaq).</w:t>
      </w:r>
    </w:p>
    <w:p>
      <w:pPr>
        <w:ind w:left="1740" w:right="419" w:hanging="338"/>
        <w:spacing w:after="0" w:line="217" w:lineRule="auto"/>
        <w:tabs>
          <w:tab w:leader="none" w:pos="1740" w:val="left"/>
        </w:tabs>
        <w:numPr>
          <w:ilvl w:val="0"/>
          <w:numId w:val="3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Reflects 540,352 shares of Class B common stock corresponding to an equivalent number of Common Units which would be received within 60 days of May 4, 2026 upon the conversion of vested Incentive Units held by a trust over which Mr. Miller is a trustee at a conversion price of $44.19 per share of Class A common stock (the closing sales price per share of Class A common stock on such date as reported on Nasdaq).</w:t>
      </w:r>
    </w:p>
    <w:p>
      <w:pPr>
        <w:ind w:left="1740" w:right="279" w:hanging="338"/>
        <w:spacing w:after="0" w:line="217" w:lineRule="auto"/>
        <w:tabs>
          <w:tab w:leader="none" w:pos="1740" w:val="left"/>
        </w:tabs>
        <w:numPr>
          <w:ilvl w:val="0"/>
          <w:numId w:val="3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Reflects (a) 465,864 shares of Class B common stock corresponding to an equivalent number of outstanding Common Units held by Mr. Golwas, (b) 562,365 shares of Class B common stock corresponding to an equivalent number of Common Units which would be received within 60 days of May 4, 2026 upon the conversion of vested Incentive Units held by Mr. Golwas at a conversion price of $44.19 per share of Class A common stock (the closing sales price per share of Class A common stock on such date as reported on Nasdaq), and</w:t>
      </w:r>
    </w:p>
    <w:p>
      <w:pPr>
        <w:ind w:left="1740" w:right="279"/>
        <w:spacing w:after="0" w:line="227"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 301,569 shares of Class B common stock corresponding to an equivalent number of Common Units which would be received within 60 days of May 4, 2026 upon the conversion of vested Incentive Units held by a trust over which Mr. Golwas is a trustee at a conversion price of $44.19 per share of Class A common stock (the closing sales price per share of Class A common stock on such date as reported on Nasdaq).</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48</w:t>
      </w:r>
    </w:p>
    <w:p>
      <w:pPr>
        <w:sectPr>
          <w:pgSz w:w="11900" w:h="16838" w:orient="portrait"/>
          <w:cols w:equalWidth="0" w:num="1">
            <w:col w:w="10159"/>
          </w:cols>
          <w:pgMar w:left="300" w:top="383"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4" w:lineRule="exact"/>
        <w:rPr>
          <w:sz w:val="20"/>
          <w:szCs w:val="20"/>
          <w:color w:val="auto"/>
        </w:rPr>
      </w:pPr>
    </w:p>
    <w:p>
      <w:pPr>
        <w:ind w:left="1740" w:right="299" w:hanging="338"/>
        <w:spacing w:after="0" w:line="224" w:lineRule="auto"/>
        <w:tabs>
          <w:tab w:leader="none" w:pos="1740" w:val="left"/>
        </w:tabs>
        <w:numPr>
          <w:ilvl w:val="0"/>
          <w:numId w:val="3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Reflects (a) 1,208,159 shares of Class A common stock directly held by Mr. Healy and (b) 19,594 shares of Class A common stock directly held by a partnership for which Mr. Healy serves as the general partner. Does not reflect any increase in beneficial ownership associated with the distribution of shares of Class A common stock in kind for which Mr. Healy will have beneficial ownership following the consummation of this offering and the exercise of the underwriters’ option.</w:t>
      </w:r>
    </w:p>
    <w:p>
      <w:pPr>
        <w:ind w:left="1740" w:right="559" w:hanging="338"/>
        <w:spacing w:after="0" w:line="217" w:lineRule="auto"/>
        <w:tabs>
          <w:tab w:leader="none" w:pos="1740" w:val="left"/>
        </w:tabs>
        <w:numPr>
          <w:ilvl w:val="0"/>
          <w:numId w:val="3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AJM 2018 Generations Trust, which is associated with Mr. Mills, directly holds 30,655 shares of Class B common stock corresponding to an equivalent number of Common Units. Mr. Mills disclaims beneficial ownership of such shares.</w:t>
      </w:r>
    </w:p>
    <w:p>
      <w:pPr>
        <w:ind w:left="1740" w:right="359" w:hanging="338"/>
        <w:spacing w:after="0" w:line="217" w:lineRule="auto"/>
        <w:tabs>
          <w:tab w:leader="none" w:pos="1740" w:val="left"/>
        </w:tabs>
        <w:numPr>
          <w:ilvl w:val="0"/>
          <w:numId w:val="3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Charles N. Mills Gift Trust, which is associated with Mr. Mills, directly holds 64,005 shares of Class B common stock corresponding to an equivalent number of Common Units. Mr. Mills disclaims beneficial ownership of such shares.</w:t>
      </w:r>
    </w:p>
    <w:p>
      <w:pPr>
        <w:ind w:left="1740" w:right="279" w:hanging="338"/>
        <w:spacing w:after="0" w:line="223" w:lineRule="auto"/>
        <w:tabs>
          <w:tab w:leader="none" w:pos="1740" w:val="left"/>
        </w:tabs>
        <w:numPr>
          <w:ilvl w:val="0"/>
          <w:numId w:val="3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Reflects (a) 1,227,753 shares of Class A common stock beneficially owned by our directors and executive officers, (b) 2,824,246 shares of Class B common stock corresponding to an equivalent number of outstanding Common Units beneficially owned by our directors and executive officers, and (c) 6,462,209 shares of Class B common stock corresponding to an equivalent number of Common Units that our directors and executive officers have the right to acquire within 60 days of May 4, 2026 upon the conversion of vested Incentive Units held by our directors and executive officers at a conversion price of $44.19 per share of Class A common stock (the closing sales price per share of Class A common stock on such date as reported on Nasdaq).</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49</w:t>
      </w:r>
    </w:p>
    <w:p>
      <w:pPr>
        <w:sectPr>
          <w:pgSz w:w="11900" w:h="16838" w:orient="portrait"/>
          <w:cols w:equalWidth="0" w:num="1">
            <w:col w:w="10159"/>
          </w:cols>
          <w:pgMar w:left="300" w:top="383"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74" w:lineRule="exact"/>
        <w:rPr>
          <w:sz w:val="20"/>
          <w:szCs w:val="20"/>
          <w:color w:val="auto"/>
        </w:rPr>
      </w:pPr>
    </w:p>
    <w:p>
      <w:pPr>
        <w:ind w:left="1400" w:right="299" w:firstLine="339"/>
        <w:spacing w:after="0" w:line="258" w:lineRule="auto"/>
        <w:rPr>
          <w:sz w:val="20"/>
          <w:szCs w:val="20"/>
          <w:color w:val="auto"/>
        </w:rPr>
      </w:pPr>
      <w:r>
        <w:rPr>
          <w:rFonts w:ascii="Times New Roman" w:cs="Times New Roman" w:eastAsia="Times New Roman" w:hAnsi="Times New Roman"/>
          <w:sz w:val="14"/>
          <w:szCs w:val="14"/>
          <w:color w:val="auto"/>
        </w:rPr>
        <w:t>The following is a description of the material terms of, and is qualified in its entirety by, Medline Inc.’s amended and restated certificate of incorporation and amended and restated bylaws, each as in effect as of the date of this prospectus, copies of which are filed as exhibits to the registration statement of which this prospectus forms a part. Under “Description of Capital Stock,” “we,” “us,” “our,” the “Company,” and “our company” refer to Medline Inc. and not to any of its subsidiaries.</w:t>
      </w:r>
    </w:p>
    <w:p>
      <w:pPr>
        <w:spacing w:after="0" w:line="140" w:lineRule="exact"/>
        <w:rPr>
          <w:sz w:val="20"/>
          <w:szCs w:val="20"/>
          <w:color w:val="auto"/>
        </w:rPr>
      </w:pPr>
    </w:p>
    <w:p>
      <w:pPr>
        <w:ind w:left="1400" w:right="399" w:firstLine="339"/>
        <w:spacing w:after="0" w:line="255" w:lineRule="auto"/>
        <w:rPr>
          <w:sz w:val="20"/>
          <w:szCs w:val="20"/>
          <w:color w:val="auto"/>
        </w:rPr>
      </w:pPr>
      <w:r>
        <w:rPr>
          <w:rFonts w:ascii="Times New Roman" w:cs="Times New Roman" w:eastAsia="Times New Roman" w:hAnsi="Times New Roman"/>
          <w:sz w:val="14"/>
          <w:szCs w:val="14"/>
          <w:color w:val="auto"/>
        </w:rPr>
        <w:t>Our purpose is to engage in any lawful act or activity for which corporations may be organized under the DGCL. Our authorized capital stock consists of 50,000,000,000 shares of Class A common stock, par value $0.0001 per share, 50,000,000,000 shares of Class B common stock, par value $0.0001 per share, and 5,000,000,000 shares of preferred stock, par value $0.0001 per share. No shares of preferred stock will be issued or outstanding immediately after the offering contemplated by this prospectus. Unless our board of directors determines otherwise, we will issue all shares of our capital stock in uncertificated form.</w:t>
      </w:r>
    </w:p>
    <w:p>
      <w:pPr>
        <w:spacing w:after="0" w:line="2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8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Class A Common Stock</w:t>
      </w:r>
    </w:p>
    <w:p>
      <w:pPr>
        <w:spacing w:after="0" w:line="91" w:lineRule="exact"/>
        <w:rPr>
          <w:sz w:val="20"/>
          <w:szCs w:val="20"/>
          <w:color w:val="auto"/>
        </w:rPr>
      </w:pPr>
    </w:p>
    <w:p>
      <w:pPr>
        <w:ind w:left="1400" w:right="339" w:firstLine="339"/>
        <w:spacing w:after="0" w:line="263" w:lineRule="auto"/>
        <w:rPr>
          <w:sz w:val="20"/>
          <w:szCs w:val="20"/>
          <w:color w:val="auto"/>
        </w:rPr>
      </w:pPr>
      <w:r>
        <w:rPr>
          <w:rFonts w:ascii="Times New Roman" w:cs="Times New Roman" w:eastAsia="Times New Roman" w:hAnsi="Times New Roman"/>
          <w:sz w:val="14"/>
          <w:szCs w:val="14"/>
          <w:color w:val="auto"/>
        </w:rPr>
        <w:t>Holders of shares of our Class A common stock are entitled to one vote for each share held of record on all matters on which stockholders are entitled to vote generally, including the election or removal of directors. The holders of our Class A common stock do not have cumulative voting rights in the election of directors.</w:t>
      </w:r>
    </w:p>
    <w:p>
      <w:pPr>
        <w:spacing w:after="0" w:line="136" w:lineRule="exact"/>
        <w:rPr>
          <w:sz w:val="20"/>
          <w:szCs w:val="20"/>
          <w:color w:val="auto"/>
        </w:rPr>
      </w:pPr>
    </w:p>
    <w:p>
      <w:pPr>
        <w:ind w:left="1400" w:right="299" w:firstLine="339"/>
        <w:spacing w:after="0" w:line="263" w:lineRule="auto"/>
        <w:rPr>
          <w:sz w:val="20"/>
          <w:szCs w:val="20"/>
          <w:color w:val="auto"/>
        </w:rPr>
      </w:pPr>
      <w:r>
        <w:rPr>
          <w:rFonts w:ascii="Times New Roman" w:cs="Times New Roman" w:eastAsia="Times New Roman" w:hAnsi="Times New Roman"/>
          <w:sz w:val="14"/>
          <w:szCs w:val="14"/>
          <w:color w:val="auto"/>
        </w:rPr>
        <w:t>Holders of shares of our Class A common stock are entitled to receive dividends when, as and if declared by our board of directors out of funds legally available therefore, subject to any statutory or contractual restrictions on the payment of dividends and to the rights of the holders of one or more outstanding series of our preferred stock.</w:t>
      </w:r>
    </w:p>
    <w:p>
      <w:pPr>
        <w:spacing w:after="0" w:line="136" w:lineRule="exact"/>
        <w:rPr>
          <w:sz w:val="20"/>
          <w:szCs w:val="20"/>
          <w:color w:val="auto"/>
        </w:rPr>
      </w:pPr>
    </w:p>
    <w:p>
      <w:pPr>
        <w:ind w:left="1400" w:right="299" w:firstLine="339"/>
        <w:spacing w:after="0" w:line="263" w:lineRule="auto"/>
        <w:rPr>
          <w:sz w:val="20"/>
          <w:szCs w:val="20"/>
          <w:color w:val="auto"/>
        </w:rPr>
      </w:pPr>
      <w:r>
        <w:rPr>
          <w:rFonts w:ascii="Times New Roman" w:cs="Times New Roman" w:eastAsia="Times New Roman" w:hAnsi="Times New Roman"/>
          <w:sz w:val="14"/>
          <w:szCs w:val="14"/>
          <w:color w:val="auto"/>
        </w:rPr>
        <w:t>Upon our liquidation, dissolution or winding up and after payment in full of all amounts required to be paid to creditors, and subject to the rights of the holders of one or more outstanding series of preferred stock, the holders of shares of our Class A common stock will be entitled to receive pro rata our remaining assets available for distribution to stockholders.</w:t>
      </w:r>
    </w:p>
    <w:p>
      <w:pPr>
        <w:spacing w:after="0" w:line="136" w:lineRule="exact"/>
        <w:rPr>
          <w:sz w:val="20"/>
          <w:szCs w:val="20"/>
          <w:color w:val="auto"/>
        </w:rPr>
      </w:pPr>
    </w:p>
    <w:p>
      <w:pPr>
        <w:ind w:left="1400" w:right="319" w:firstLine="339"/>
        <w:spacing w:after="0" w:line="258" w:lineRule="auto"/>
        <w:rPr>
          <w:sz w:val="20"/>
          <w:szCs w:val="20"/>
          <w:color w:val="auto"/>
        </w:rPr>
      </w:pPr>
      <w:r>
        <w:rPr>
          <w:rFonts w:ascii="Times New Roman" w:cs="Times New Roman" w:eastAsia="Times New Roman" w:hAnsi="Times New Roman"/>
          <w:sz w:val="14"/>
          <w:szCs w:val="14"/>
          <w:color w:val="auto"/>
        </w:rPr>
        <w:t>The Class A common stock is not subject to further calls or assessments by us. Holders of shares of our Class A common stock do not have preemptive, subscription, redemption or conversion rights. There are no redemption or sinking fund provisions applicable to the Class A common stock. The rights, powers, preferences and privileges of holders of our Class A common stock are subject to those of the holders of any shares of our preferred stock or any other series or class of stock we may authorize and issue in the future.</w:t>
      </w:r>
    </w:p>
    <w:p>
      <w:pPr>
        <w:spacing w:after="0" w:line="2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Class B Common Stock</w:t>
      </w:r>
    </w:p>
    <w:p>
      <w:pPr>
        <w:spacing w:after="0" w:line="91" w:lineRule="exact"/>
        <w:rPr>
          <w:sz w:val="20"/>
          <w:szCs w:val="20"/>
          <w:color w:val="auto"/>
        </w:rPr>
      </w:pPr>
    </w:p>
    <w:p>
      <w:pPr>
        <w:ind w:left="1400" w:right="319" w:firstLine="339"/>
        <w:spacing w:after="0" w:line="274" w:lineRule="auto"/>
        <w:rPr>
          <w:sz w:val="20"/>
          <w:szCs w:val="20"/>
          <w:color w:val="auto"/>
        </w:rPr>
      </w:pPr>
      <w:r>
        <w:rPr>
          <w:rFonts w:ascii="Times New Roman" w:cs="Times New Roman" w:eastAsia="Times New Roman" w:hAnsi="Times New Roman"/>
          <w:sz w:val="13"/>
          <w:szCs w:val="13"/>
          <w:color w:val="auto"/>
        </w:rPr>
        <w:t>Holders of shares of our Class B common stock are entitled to one vote for each share held of record on all matters on which stockholders are entitled to vote generally, including the election and removal of directors. Upon the occurrence of any split or combination of the Common Units, the issued shares of our Class B common stock will be automatically split or combined into a greater or lesser number of shares of our Class B common stock at the same ratio as such split or combination of the Common Units. Additionally, other than as the result of a split or combination for which an adjustment has been made as outlined in the foregoing sentence, if at any time the ratio at which Common Units are exchangeable for shares of our Class A common stock changes from one-for-one as described under “Part III—Item 13—Certain Relationships and Related Transactions, and Director Independence” in our 2025 Form 10-K incorporated by reference in this prospectus, the number of votes to which holders of our Class B common stock are entitled will be adjusted accordingly. The holders of our Class B common stock do not have cumulative voting rights in the election of directors.</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50</w:t>
      </w:r>
    </w:p>
    <w:p>
      <w:pPr>
        <w:sectPr>
          <w:pgSz w:w="11900" w:h="16838" w:orient="portrait"/>
          <w:cols w:equalWidth="0" w:num="1">
            <w:col w:w="10159"/>
          </w:cols>
          <w:pgMar w:left="300" w:top="383"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479" w:firstLine="339"/>
        <w:spacing w:after="0" w:line="255" w:lineRule="auto"/>
        <w:rPr>
          <w:sz w:val="20"/>
          <w:szCs w:val="20"/>
          <w:color w:val="auto"/>
        </w:rPr>
      </w:pPr>
      <w:r>
        <w:rPr>
          <w:rFonts w:ascii="Times New Roman" w:cs="Times New Roman" w:eastAsia="Times New Roman" w:hAnsi="Times New Roman"/>
          <w:sz w:val="14"/>
          <w:szCs w:val="14"/>
          <w:color w:val="auto"/>
        </w:rPr>
        <w:t>We issued one share of Class B common stock for each Common Unit held by our Continuing Unitholders, and, upon conversion of vested Incentive Units for Common Units, the converting holders will also receive an equivalent number of shares of Class B common stock. Upon an exchange by any such Continuing Unitholder of Common Units for shares of our Class A common stock pursuant to the Exchange Agreement, an equivalent number of shares of Class B common stock held by each such Continuing Unitholder will be automatically transferred to us and cancelled and retired.</w:t>
      </w:r>
    </w:p>
    <w:p>
      <w:pPr>
        <w:spacing w:after="0" w:line="143" w:lineRule="exact"/>
        <w:rPr>
          <w:sz w:val="20"/>
          <w:szCs w:val="20"/>
          <w:color w:val="auto"/>
        </w:rPr>
      </w:pPr>
    </w:p>
    <w:p>
      <w:pPr>
        <w:ind w:left="1400" w:right="299" w:firstLine="339"/>
        <w:spacing w:after="0" w:line="250" w:lineRule="auto"/>
        <w:rPr>
          <w:sz w:val="20"/>
          <w:szCs w:val="20"/>
          <w:color w:val="auto"/>
        </w:rPr>
      </w:pPr>
      <w:r>
        <w:rPr>
          <w:rFonts w:ascii="Times New Roman" w:cs="Times New Roman" w:eastAsia="Times New Roman" w:hAnsi="Times New Roman"/>
          <w:sz w:val="14"/>
          <w:szCs w:val="14"/>
          <w:color w:val="auto"/>
        </w:rPr>
        <w:t>Holders of shares of our Class B common stock vote together with holders of our Class A common stock as a single class on all matters on which stockholders are entitled to vote generally, except as otherwise required by law or by the amended and restated certificate of incorporation. Delaware law entitles the holders of the outstanding shares of Class A common stock, Class B common stock, and any preferred stock to vote separately as different classes in connection with any amendment to our certificate of incorporation that would increase or decrease the par value of the shares of such class or that would alter or change the powers, preferences, or special rights of such class so as to affect them adversely. As permitted by Delaware law, the amended and restated certificate of incorporation includes a provision which eliminates the separate class vote that the holders of our Class A common stock, Class B common stock, or preferred stock would otherwise have with respect to an amendment to the certificate of incorporation increasing or decreasing the authorized number of shares of Class A common stock, Class B common stock, or preferred stock. Thus, subject to any special or additional voting requirements contained in the amended and restated certificate of incorporation, the holders of our Class A common stock, Class B common stock, and preferred stock would vote together as a single class on any amendment to the certificate of incorporation increasing or decreasing the authorized number of shares of Class A common stock, Class B common, stock or preferred stock. Under Delaware law, depending on the circumstances, any such increase in the authorized number of shares of our Class A common stock, Class B common stock, or preferred stock would require either the affirmative vote of the holders of a majority of the votes cast at a meeting at which a quorum is present or a majority in voting power of the outstanding shares of capital stock entitled to vote thereon.</w:t>
      </w:r>
    </w:p>
    <w:p>
      <w:pPr>
        <w:spacing w:after="0" w:line="148" w:lineRule="exact"/>
        <w:rPr>
          <w:sz w:val="20"/>
          <w:szCs w:val="20"/>
          <w:color w:val="auto"/>
        </w:rPr>
      </w:pPr>
    </w:p>
    <w:p>
      <w:pPr>
        <w:ind w:left="1400" w:right="399" w:firstLine="339"/>
        <w:spacing w:after="0" w:line="278" w:lineRule="auto"/>
        <w:rPr>
          <w:sz w:val="20"/>
          <w:szCs w:val="20"/>
          <w:color w:val="auto"/>
        </w:rPr>
      </w:pPr>
      <w:r>
        <w:rPr>
          <w:rFonts w:ascii="Times New Roman" w:cs="Times New Roman" w:eastAsia="Times New Roman" w:hAnsi="Times New Roman"/>
          <w:sz w:val="14"/>
          <w:szCs w:val="14"/>
          <w:color w:val="auto"/>
        </w:rPr>
        <w:t>Holders of our Class B common stock are not entitled to receive dividends or to receive a distribution upon a liquidation, dissolution, or winding up of Medline Inc.</w:t>
      </w:r>
    </w:p>
    <w:p>
      <w:pPr>
        <w:spacing w:after="0" w:line="1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Our amended and restated certificate of incorporation does not provide for any restrictions on transfer of shares of Class B common stock other</w:t>
      </w:r>
    </w:p>
    <w:p>
      <w:pPr>
        <w:spacing w:after="0" w:line="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than:</w:t>
      </w:r>
    </w:p>
    <w:p>
      <w:pPr>
        <w:spacing w:after="0" w:line="84" w:lineRule="exact"/>
        <w:rPr>
          <w:sz w:val="20"/>
          <w:szCs w:val="20"/>
          <w:color w:val="auto"/>
        </w:rPr>
      </w:pPr>
    </w:p>
    <w:p>
      <w:pPr>
        <w:ind w:left="2160" w:right="319" w:hanging="342"/>
        <w:spacing w:after="0" w:line="278" w:lineRule="auto"/>
        <w:tabs>
          <w:tab w:leader="none" w:pos="21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requiring an automatic transfer of shares of Class B common stock to us upon an exchange of the Common Units associated with such shares;</w:t>
      </w:r>
    </w:p>
    <w:p>
      <w:pPr>
        <w:spacing w:after="0" w:line="53" w:lineRule="exact"/>
        <w:rPr>
          <w:rFonts w:ascii="Times New Roman" w:cs="Times New Roman" w:eastAsia="Times New Roman" w:hAnsi="Times New Roman"/>
          <w:sz w:val="14"/>
          <w:szCs w:val="14"/>
          <w:color w:val="auto"/>
        </w:rPr>
      </w:pPr>
    </w:p>
    <w:p>
      <w:pPr>
        <w:jc w:val="both"/>
        <w:ind w:left="2160" w:right="459" w:hanging="342"/>
        <w:spacing w:after="0" w:line="263" w:lineRule="auto"/>
        <w:tabs>
          <w:tab w:leader="none" w:pos="21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requiring that the holder will not transfer shares of Class B common stock to any person (other than the Company) unless the holder transfers an equal number of Common Units to the same person directly or indirectly via a transfer of interests in the Medline Management Aggregator LLC or any successor entity;</w:t>
      </w:r>
    </w:p>
    <w:p>
      <w:pPr>
        <w:spacing w:after="0" w:line="63" w:lineRule="exact"/>
        <w:rPr>
          <w:rFonts w:ascii="Times New Roman" w:cs="Times New Roman" w:eastAsia="Times New Roman" w:hAnsi="Times New Roman"/>
          <w:sz w:val="14"/>
          <w:szCs w:val="14"/>
          <w:color w:val="auto"/>
        </w:rPr>
      </w:pPr>
    </w:p>
    <w:p>
      <w:pPr>
        <w:ind w:left="2160" w:right="379" w:hanging="342"/>
        <w:spacing w:after="0" w:line="278" w:lineRule="auto"/>
        <w:tabs>
          <w:tab w:leader="none" w:pos="21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requiring that, in the event the holder transfers Common Units to any person, the holder transfer an equal number of shares of Class B common stock to the same person.</w:t>
      </w:r>
    </w:p>
    <w:p>
      <w:pPr>
        <w:spacing w:after="0" w:line="126" w:lineRule="exact"/>
        <w:rPr>
          <w:sz w:val="20"/>
          <w:szCs w:val="20"/>
          <w:color w:val="auto"/>
        </w:rPr>
      </w:pPr>
    </w:p>
    <w:p>
      <w:pPr>
        <w:ind w:left="1400" w:right="279" w:firstLine="339"/>
        <w:spacing w:after="0" w:line="258" w:lineRule="auto"/>
        <w:rPr>
          <w:sz w:val="20"/>
          <w:szCs w:val="20"/>
          <w:color w:val="auto"/>
        </w:rPr>
      </w:pPr>
      <w:r>
        <w:rPr>
          <w:rFonts w:ascii="Times New Roman" w:cs="Times New Roman" w:eastAsia="Times New Roman" w:hAnsi="Times New Roman"/>
          <w:sz w:val="14"/>
          <w:szCs w:val="14"/>
          <w:color w:val="auto"/>
        </w:rPr>
        <w:t>The Class B common stock is not subject to further calls or assessments by us. Holders of shares of our Class B common stock do not have preemptive, subscription, redemption, or conversion rights. There are no redemption or sinking fund provisions applicable to the Class B common stock. The rights, powers, preferences, and privileges of holders of our Class B common stock are subject to those of the holders of any shares of our preferred stock or any other series or class of stock we may authorize and issue in the future.</w:t>
      </w:r>
    </w:p>
    <w:p>
      <w:pPr>
        <w:spacing w:after="0" w:line="2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Mills Family Voting Cap</w:t>
      </w:r>
    </w:p>
    <w:p>
      <w:pPr>
        <w:spacing w:after="0" w:line="91" w:lineRule="exact"/>
        <w:rPr>
          <w:sz w:val="20"/>
          <w:szCs w:val="20"/>
          <w:color w:val="auto"/>
        </w:rPr>
      </w:pPr>
    </w:p>
    <w:p>
      <w:pPr>
        <w:ind w:left="1400" w:right="439" w:firstLine="339"/>
        <w:spacing w:after="0" w:line="278" w:lineRule="auto"/>
        <w:rPr>
          <w:sz w:val="20"/>
          <w:szCs w:val="20"/>
          <w:color w:val="auto"/>
        </w:rPr>
      </w:pPr>
      <w:r>
        <w:rPr>
          <w:rFonts w:ascii="Times New Roman" w:cs="Times New Roman" w:eastAsia="Times New Roman" w:hAnsi="Times New Roman"/>
          <w:sz w:val="14"/>
          <w:szCs w:val="14"/>
          <w:color w:val="auto"/>
        </w:rPr>
        <w:t>The Mills Family and their affiliates are not entitled to cast votes, or provide consent, with respect to any shares of capital stock of Medline Inc. owned by them representing, in the aggregate, more than 20% of the total</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51</w:t>
      </w:r>
    </w:p>
    <w:p>
      <w:pPr>
        <w:sectPr>
          <w:pgSz w:w="11900" w:h="16838" w:orient="portrait"/>
          <w:cols w:equalWidth="0" w:num="1">
            <w:col w:w="10159"/>
          </w:cols>
          <w:pgMar w:left="300" w:top="383" w:right="14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459"/>
        <w:spacing w:after="0" w:line="254" w:lineRule="auto"/>
        <w:rPr>
          <w:sz w:val="20"/>
          <w:szCs w:val="20"/>
          <w:color w:val="auto"/>
        </w:rPr>
      </w:pPr>
      <w:r>
        <w:rPr>
          <w:rFonts w:ascii="Times New Roman" w:cs="Times New Roman" w:eastAsia="Times New Roman" w:hAnsi="Times New Roman"/>
          <w:sz w:val="14"/>
          <w:szCs w:val="14"/>
          <w:color w:val="auto"/>
        </w:rPr>
        <w:t>number of votes entitled to be cast (or as to which consents may be delivered) by the holders of all shares of capital stock of Medline Inc. outstanding and entitled to vote (or provide consent) in respect of any matter (the “Mills Family Voting Cap”). Any shares owned by such holders in excess of the Mills Family Voting Cap will not have any voting power on any such matter (and, accordingly, shall be deemed not to be outstanding for purposes of determining a quorum or for purposes of determining the shares entitled to vote at any such meeting or to provide consent in lieu of a meeting of stockholders), with the application of the loss of voting power allocated among such holders pro rata in accordance with the shares of the Company’s capital stock owned thereby.</w:t>
      </w:r>
    </w:p>
    <w:p>
      <w:pPr>
        <w:spacing w:after="0" w:line="2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91" w:lineRule="exact"/>
        <w:rPr>
          <w:sz w:val="20"/>
          <w:szCs w:val="20"/>
          <w:color w:val="auto"/>
        </w:rPr>
      </w:pPr>
    </w:p>
    <w:p>
      <w:pPr>
        <w:ind w:left="1400" w:right="339" w:firstLine="339"/>
        <w:spacing w:after="0" w:line="254" w:lineRule="auto"/>
        <w:rPr>
          <w:sz w:val="20"/>
          <w:szCs w:val="20"/>
          <w:color w:val="auto"/>
        </w:rPr>
      </w:pPr>
      <w:r>
        <w:rPr>
          <w:rFonts w:ascii="Times New Roman" w:cs="Times New Roman" w:eastAsia="Times New Roman" w:hAnsi="Times New Roman"/>
          <w:sz w:val="14"/>
          <w:szCs w:val="14"/>
          <w:color w:val="auto"/>
        </w:rPr>
        <w:t>As of the date of this prospectus, we had no shares of preferred stock issued or outstanding. Our amended and restated certificate of incorporation authorizes our board of directors to establish one or more series of preferred stock (including convertible preferred stock). Unless required by law or by any stock exchange, and subject to the terms of our amended and restated certificate of incorporation, the authorized shares of preferred stock will be available for issuance without further action by holders of our common stock. Our board of directors is able to determine, with respect to any series of preferred stock, the powers (including voting powers), preferences, and relative, participating, optional, or other special rights, and the qualifications, limitations, or restrictions thereof, including, without limitation:</w:t>
      </w:r>
    </w:p>
    <w:p>
      <w:pPr>
        <w:spacing w:after="0" w:line="70" w:lineRule="exact"/>
        <w:rPr>
          <w:sz w:val="20"/>
          <w:szCs w:val="20"/>
          <w:color w:val="auto"/>
        </w:rPr>
      </w:pPr>
    </w:p>
    <w:p>
      <w:pPr>
        <w:ind w:left="2160" w:hanging="342"/>
        <w:spacing w:after="0"/>
        <w:tabs>
          <w:tab w:leader="none" w:pos="21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of the series;</w:t>
      </w:r>
    </w:p>
    <w:p>
      <w:pPr>
        <w:spacing w:after="0" w:line="98" w:lineRule="exact"/>
        <w:rPr>
          <w:rFonts w:ascii="Times New Roman" w:cs="Times New Roman" w:eastAsia="Times New Roman" w:hAnsi="Times New Roman"/>
          <w:sz w:val="14"/>
          <w:szCs w:val="14"/>
          <w:color w:val="auto"/>
        </w:rPr>
      </w:pPr>
    </w:p>
    <w:p>
      <w:pPr>
        <w:ind w:left="2160" w:right="379" w:hanging="342"/>
        <w:spacing w:after="0" w:line="263" w:lineRule="auto"/>
        <w:tabs>
          <w:tab w:leader="none" w:pos="21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the series, which our board of directors may, except where otherwise provided in any preferred stock designation, increase (but not above the total number of authorized shares of the class) or decrease (but not below the number of shares then outstanding);</w:t>
      </w:r>
    </w:p>
    <w:p>
      <w:pPr>
        <w:spacing w:after="0" w:line="6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dividends, if any, will be cumulative or non-cumulative and the dividend rate of the series;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at which dividends, if any, will be payable on shares of such series;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redemption rights and price or prices, if any, for shares of the series;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amounts of any sinking fund provided for the purchase or redemption of shares of the series;</w:t>
      </w:r>
    </w:p>
    <w:p>
      <w:pPr>
        <w:spacing w:after="0" w:line="98" w:lineRule="exact"/>
        <w:rPr>
          <w:rFonts w:ascii="Times New Roman" w:cs="Times New Roman" w:eastAsia="Times New Roman" w:hAnsi="Times New Roman"/>
          <w:sz w:val="14"/>
          <w:szCs w:val="14"/>
          <w:color w:val="auto"/>
        </w:rPr>
      </w:pPr>
    </w:p>
    <w:p>
      <w:pPr>
        <w:ind w:left="2160" w:right="659" w:hanging="342"/>
        <w:spacing w:after="0" w:line="278" w:lineRule="auto"/>
        <w:tabs>
          <w:tab w:leader="none" w:pos="21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payable on shares of the series in the event of any voluntary or involuntary liquidation, dissolution or winding-up of our affairs or other event;</w:t>
      </w:r>
    </w:p>
    <w:p>
      <w:pPr>
        <w:spacing w:after="0" w:line="53" w:lineRule="exact"/>
        <w:rPr>
          <w:rFonts w:ascii="Times New Roman" w:cs="Times New Roman" w:eastAsia="Times New Roman" w:hAnsi="Times New Roman"/>
          <w:sz w:val="14"/>
          <w:szCs w:val="14"/>
          <w:color w:val="auto"/>
        </w:rPr>
      </w:pPr>
    </w:p>
    <w:p>
      <w:pPr>
        <w:ind w:left="2160" w:right="319" w:hanging="342"/>
        <w:spacing w:after="0" w:line="292" w:lineRule="auto"/>
        <w:tabs>
          <w:tab w:leader="none" w:pos="216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the shares of the series will be convertible into shares of any other class or series, or any other security, of us or any other entity,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47" w:lineRule="exact"/>
        <w:rPr>
          <w:rFonts w:ascii="Times New Roman" w:cs="Times New Roman" w:eastAsia="Times New Roman" w:hAnsi="Times New Roman"/>
          <w:sz w:val="13"/>
          <w:szCs w:val="13"/>
          <w:color w:val="auto"/>
        </w:rPr>
      </w:pPr>
    </w:p>
    <w:p>
      <w:pPr>
        <w:ind w:left="2160" w:hanging="342"/>
        <w:spacing w:after="0"/>
        <w:tabs>
          <w:tab w:leader="none" w:pos="21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the issuance of shares of the same series or of any other class or series of our capital stock; and</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voting powers, if any, of the holders of the series.</w:t>
      </w:r>
    </w:p>
    <w:p>
      <w:pPr>
        <w:spacing w:after="0" w:line="172" w:lineRule="exact"/>
        <w:rPr>
          <w:sz w:val="20"/>
          <w:szCs w:val="20"/>
          <w:color w:val="auto"/>
        </w:rPr>
      </w:pPr>
    </w:p>
    <w:p>
      <w:pPr>
        <w:ind w:left="1400" w:right="339" w:firstLine="339"/>
        <w:spacing w:after="0" w:line="253" w:lineRule="auto"/>
        <w:rPr>
          <w:sz w:val="20"/>
          <w:szCs w:val="20"/>
          <w:color w:val="auto"/>
        </w:rPr>
      </w:pPr>
      <w:r>
        <w:rPr>
          <w:rFonts w:ascii="Times New Roman" w:cs="Times New Roman" w:eastAsia="Times New Roman" w:hAnsi="Times New Roman"/>
          <w:sz w:val="14"/>
          <w:szCs w:val="14"/>
          <w:color w:val="auto"/>
        </w:rPr>
        <w:t>We could issue one or more series of preferred stock that could, depending on the terms of the series, impede or discourage an acquisition attempt or other transaction that some, or a majority, of the holders of our Class A common stock might believe to be in their best interests or in which the holders of our Class A common stock might receive a premium over the market price of the shares of our Class A common stock. Additionally, the issuance of preferred stock may adversely affect the rights or interests of holders of our Class A common stock by restricting dividends on the Class A common stock, diluting the voting power of the Class A common stock, or subordinating the rights of the Class A common stock to distributions upon a liquidation, dissolution, or winding up or other event. As a result of these or other factors, the issuance of preferred stock could have an adverse impact on the market price of our Class A common stock.</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52</w:t>
      </w:r>
    </w:p>
    <w:p>
      <w:pPr>
        <w:sectPr>
          <w:pgSz w:w="11900" w:h="16838" w:orient="portrait"/>
          <w:cols w:equalWidth="0" w:num="1">
            <w:col w:w="10159"/>
          </w:cols>
          <w:pgMar w:left="300" w:top="383"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91" w:lineRule="exact"/>
        <w:rPr>
          <w:sz w:val="20"/>
          <w:szCs w:val="20"/>
          <w:color w:val="auto"/>
        </w:rPr>
      </w:pPr>
    </w:p>
    <w:p>
      <w:pPr>
        <w:ind w:left="1400" w:right="279" w:firstLine="339"/>
        <w:spacing w:after="0" w:line="251" w:lineRule="auto"/>
        <w:rPr>
          <w:sz w:val="20"/>
          <w:szCs w:val="20"/>
          <w:color w:val="auto"/>
        </w:rPr>
      </w:pPr>
      <w:r>
        <w:rPr>
          <w:rFonts w:ascii="Times New Roman" w:cs="Times New Roman" w:eastAsia="Times New Roman" w:hAnsi="Times New Roman"/>
          <w:sz w:val="14"/>
          <w:szCs w:val="14"/>
          <w:color w:val="auto"/>
        </w:rPr>
        <w:t>The DGCL permits the board of directors of a corporation, subject to any restrictions in the certificate of incorporation, to declare and pay dividends out of the corporation’s “surplus” or, if there is no “surplus,” out of its net profits for the fiscal year in which the dividend is declared and/or the preceding fiscal year. “Surplus” is defined as the excess of the net assets of the corporation over the amount determined to be the capital of the corporation. The capital of the corporation is typically calculated to be (and cannot be less than) the aggregate par value of all issued shares of capital stock. Net assets is an amount equal to the fair value of the total assets minus total liabilities. The DGCL also provides that dividends may not be paid out of net profits if, after the payment of the dividend, the remaining capital would be less than the capital represented by the outstanding stock of all classes having a preference upon the distribution of assets. Declaration and payment of any dividend is subject to the discretion of our board of directors, except that our amended and restated certificate of incorporation provides that holders of Class B common stock shall not be entitled to any dividends on their shares of Class B common stock (other than dividends payable in the form of additional shares of Class B common stock). See also “Dividend Policy.”</w:t>
      </w:r>
    </w:p>
    <w:p>
      <w:pPr>
        <w:spacing w:after="0" w:line="22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Annual Stockholder Meetings</w:t>
      </w:r>
    </w:p>
    <w:p>
      <w:pPr>
        <w:spacing w:after="0" w:line="91" w:lineRule="exact"/>
        <w:rPr>
          <w:sz w:val="20"/>
          <w:szCs w:val="20"/>
          <w:color w:val="auto"/>
        </w:rPr>
      </w:pPr>
    </w:p>
    <w:p>
      <w:pPr>
        <w:ind w:left="1400" w:right="299" w:firstLine="339"/>
        <w:spacing w:after="0" w:line="263" w:lineRule="auto"/>
        <w:rPr>
          <w:sz w:val="20"/>
          <w:szCs w:val="20"/>
          <w:color w:val="auto"/>
        </w:rPr>
      </w:pPr>
      <w:r>
        <w:rPr>
          <w:rFonts w:ascii="Times New Roman" w:cs="Times New Roman" w:eastAsia="Times New Roman" w:hAnsi="Times New Roman"/>
          <w:sz w:val="14"/>
          <w:szCs w:val="14"/>
          <w:color w:val="auto"/>
        </w:rPr>
        <w:t>Our amended and restated bylaws provide that annual stockholder meetings will be held at a date, time, and place, if any, as exclusively selected by our board of directors. To the extent permitted under applicable law, we may conduct meetings solely by means of remote communications, including by webcast.</w:t>
      </w:r>
    </w:p>
    <w:p>
      <w:pPr>
        <w:spacing w:after="0" w:line="217" w:lineRule="exact"/>
        <w:rPr>
          <w:sz w:val="20"/>
          <w:szCs w:val="20"/>
          <w:color w:val="auto"/>
        </w:rPr>
      </w:pPr>
    </w:p>
    <w:p>
      <w:pPr>
        <w:ind w:left="1400" w:right="399"/>
        <w:spacing w:after="0" w:line="281" w:lineRule="auto"/>
        <w:rPr>
          <w:sz w:val="20"/>
          <w:szCs w:val="20"/>
          <w:color w:val="auto"/>
        </w:rPr>
      </w:pPr>
      <w:r>
        <w:rPr>
          <w:rFonts w:ascii="Times New Roman" w:cs="Times New Roman" w:eastAsia="Times New Roman" w:hAnsi="Times New Roman"/>
          <w:sz w:val="14"/>
          <w:szCs w:val="14"/>
          <w:b w:val="1"/>
          <w:bCs w:val="1"/>
          <w:color w:val="auto"/>
        </w:rPr>
        <w:t>Anti-Takeover Effects of Our Amended and Restated Certificate of Incorporation and Amended and Restated Bylaws and Certain Provisions of Delaware Law</w:t>
      </w:r>
    </w:p>
    <w:p>
      <w:pPr>
        <w:spacing w:after="0" w:line="41" w:lineRule="exact"/>
        <w:rPr>
          <w:sz w:val="20"/>
          <w:szCs w:val="20"/>
          <w:color w:val="auto"/>
        </w:rPr>
      </w:pPr>
    </w:p>
    <w:p>
      <w:pPr>
        <w:ind w:left="1400" w:right="299" w:firstLine="339"/>
        <w:spacing w:after="0" w:line="253" w:lineRule="auto"/>
        <w:rPr>
          <w:sz w:val="20"/>
          <w:szCs w:val="20"/>
          <w:color w:val="auto"/>
        </w:rPr>
      </w:pPr>
      <w:r>
        <w:rPr>
          <w:rFonts w:ascii="Times New Roman" w:cs="Times New Roman" w:eastAsia="Times New Roman" w:hAnsi="Times New Roman"/>
          <w:sz w:val="14"/>
          <w:szCs w:val="14"/>
          <w:color w:val="auto"/>
        </w:rPr>
        <w:t>Our amended and restated certificate of incorporation, amended and restated bylaws, and the DGCL contain provisions that are summarized in the following paragraphs and that are intended to enhance the likelihood of continuity and stability in the composition of our board of directors. These provisions are intended to avoid costly takeover battles, reduce our vulnerability to a hostile or abusive change of control, and enhance the ability of our board of directors to maximize stockholder value in connection with any unsolicited offer to acquire us. However, these provisions may have an anti-takeover effect and may delay, deter or prevent a merger or acquisition of the Company by means of a tender offer, a proxy contest, or other takeover attempt that a stockholder might consider in its best interest, including those attempts that might result in a premium over the prevailing market price for the shares of common stock held by stockholders.</w:t>
      </w:r>
    </w:p>
    <w:p>
      <w:pPr>
        <w:spacing w:after="0" w:line="2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Authorized but Unissued Capital Stock</w:t>
      </w:r>
    </w:p>
    <w:p>
      <w:pPr>
        <w:spacing w:after="0" w:line="91" w:lineRule="exact"/>
        <w:rPr>
          <w:sz w:val="20"/>
          <w:szCs w:val="20"/>
          <w:color w:val="auto"/>
        </w:rPr>
      </w:pPr>
    </w:p>
    <w:p>
      <w:pPr>
        <w:ind w:left="1400" w:right="339" w:firstLine="339"/>
        <w:spacing w:after="0" w:line="254" w:lineRule="auto"/>
        <w:rPr>
          <w:sz w:val="20"/>
          <w:szCs w:val="20"/>
          <w:color w:val="auto"/>
        </w:rPr>
      </w:pPr>
      <w:r>
        <w:rPr>
          <w:rFonts w:ascii="Times New Roman" w:cs="Times New Roman" w:eastAsia="Times New Roman" w:hAnsi="Times New Roman"/>
          <w:sz w:val="14"/>
          <w:szCs w:val="14"/>
          <w:color w:val="auto"/>
        </w:rPr>
        <w:t>Delaware law does not require stockholder approval for any issuance of shares that are authorized and available for issuance. However, the listing requirements of Nasdaq, which apply so long as the shares of Class A common stock remain listed on Nasdaq, require stockholder approval of certain issuances equal to or exceeding 20% of the then outstanding voting power or the then outstanding number of shares of Class A common stock (we believe the position of Nasdaq is that the calculation in this latter case treats as outstanding shares issuable upon exchange of outstanding Common Units not indirectly held by Medline Inc.). These additional shares may be used for a variety of corporate purposes, including future public offerings, to raise additional capital, or to facilitate acquisitions.</w:t>
      </w:r>
    </w:p>
    <w:p>
      <w:pPr>
        <w:spacing w:after="0" w:line="142" w:lineRule="exact"/>
        <w:rPr>
          <w:sz w:val="20"/>
          <w:szCs w:val="20"/>
          <w:color w:val="auto"/>
        </w:rPr>
      </w:pPr>
    </w:p>
    <w:p>
      <w:pPr>
        <w:ind w:left="1400" w:right="359" w:firstLine="339"/>
        <w:spacing w:after="0" w:line="258" w:lineRule="auto"/>
        <w:rPr>
          <w:sz w:val="20"/>
          <w:szCs w:val="20"/>
          <w:color w:val="auto"/>
        </w:rPr>
      </w:pPr>
      <w:r>
        <w:rPr>
          <w:rFonts w:ascii="Times New Roman" w:cs="Times New Roman" w:eastAsia="Times New Roman" w:hAnsi="Times New Roman"/>
          <w:sz w:val="14"/>
          <w:szCs w:val="14"/>
          <w:color w:val="auto"/>
        </w:rPr>
        <w:t>Our board of directors may generally issue shares of one or more series of preferred stock on terms designed to discourage, delay, or prevent a change of control of the Company or the removal of our management. Moreover, our authorized but unissued shares of preferred stock are available for future issuances in one or more series without stockholder approval and could be utilized for a variety of corporate purposes, including future offerings to raise additional capital, to facilitate acquisitions, and to fund employee benefit plans.</w:t>
      </w:r>
    </w:p>
    <w:p>
      <w:pPr>
        <w:spacing w:after="0" w:line="140" w:lineRule="exact"/>
        <w:rPr>
          <w:sz w:val="20"/>
          <w:szCs w:val="20"/>
          <w:color w:val="auto"/>
        </w:rPr>
      </w:pPr>
    </w:p>
    <w:p>
      <w:pPr>
        <w:ind w:left="1400" w:right="559" w:firstLine="339"/>
        <w:spacing w:after="0" w:line="278" w:lineRule="auto"/>
        <w:rPr>
          <w:sz w:val="20"/>
          <w:szCs w:val="20"/>
          <w:color w:val="auto"/>
        </w:rPr>
      </w:pPr>
      <w:r>
        <w:rPr>
          <w:rFonts w:ascii="Times New Roman" w:cs="Times New Roman" w:eastAsia="Times New Roman" w:hAnsi="Times New Roman"/>
          <w:sz w:val="14"/>
          <w:szCs w:val="14"/>
          <w:color w:val="auto"/>
        </w:rPr>
        <w:t>One of the effects of the existence of authorized and unissued and unreserved common stock or preferred stock may be to enable our board of directors to issue shares to persons friendly to current management, which</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53</w:t>
      </w:r>
    </w:p>
    <w:p>
      <w:pPr>
        <w:sectPr>
          <w:pgSz w:w="11900" w:h="16838" w:orient="portrait"/>
          <w:cols w:equalWidth="0" w:num="1">
            <w:col w:w="10159"/>
          </w:cols>
          <w:pgMar w:left="300" w:top="383" w:right="144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459"/>
        <w:spacing w:after="0" w:line="263" w:lineRule="auto"/>
        <w:rPr>
          <w:sz w:val="20"/>
          <w:szCs w:val="20"/>
          <w:color w:val="auto"/>
        </w:rPr>
      </w:pPr>
      <w:r>
        <w:rPr>
          <w:rFonts w:ascii="Times New Roman" w:cs="Times New Roman" w:eastAsia="Times New Roman" w:hAnsi="Times New Roman"/>
          <w:sz w:val="14"/>
          <w:szCs w:val="14"/>
          <w:color w:val="auto"/>
        </w:rPr>
        <w:t>issuance could render more difficult or discourage an attempt to obtain control of the Company by means of a merger, tender offer, proxy contest, or otherwise, and thereby protect the continuity of our management and possibly deprive our stockholders of opportunities to sell their shares of Class A common stock at prices higher than prevailing market prices.</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Business Combinations</w:t>
      </w:r>
    </w:p>
    <w:p>
      <w:pPr>
        <w:spacing w:after="0" w:line="91" w:lineRule="exact"/>
        <w:rPr>
          <w:sz w:val="20"/>
          <w:szCs w:val="20"/>
          <w:color w:val="auto"/>
        </w:rPr>
      </w:pPr>
    </w:p>
    <w:p>
      <w:pPr>
        <w:ind w:left="1400" w:right="299" w:firstLine="339"/>
        <w:spacing w:after="0" w:line="252" w:lineRule="auto"/>
        <w:rPr>
          <w:sz w:val="20"/>
          <w:szCs w:val="20"/>
          <w:color w:val="auto"/>
        </w:rPr>
      </w:pPr>
      <w:r>
        <w:rPr>
          <w:rFonts w:ascii="Times New Roman" w:cs="Times New Roman" w:eastAsia="Times New Roman" w:hAnsi="Times New Roman"/>
          <w:sz w:val="14"/>
          <w:szCs w:val="14"/>
          <w:color w:val="auto"/>
        </w:rPr>
        <w:t>We have elected not to be governed by Section 203 of the DGCL, which is Delaware’s anti-takeover statute that, subject to certain exceptions and approvals, restricts “business combinations,” including specified mergers, asset sales, stock sales, and other transactions, between a corporation and its subsidiaries, on the one hand, and any interested stockholder (generally defined to mean a person who (x) owns 15% or more of the outstanding voting stock of the corporation or (y) is an affiliate or associate of us and was the owner of 15% or more of our voting stock within the three-year period before the date on which it is sought to be determined whether such person is an “interested stockholder,” and the affiliates or associates of such person), on the other, for a three-year period following the time the person became an interested stockholder.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72" w:lineRule="exact"/>
        <w:rPr>
          <w:sz w:val="20"/>
          <w:szCs w:val="20"/>
          <w:color w:val="auto"/>
        </w:rPr>
      </w:pPr>
    </w:p>
    <w:p>
      <w:pPr>
        <w:ind w:left="2160" w:right="679" w:hanging="342"/>
        <w:spacing w:after="0" w:line="278" w:lineRule="auto"/>
        <w:tabs>
          <w:tab w:leader="none" w:pos="21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such time, our board of directors approved either the business combination or the transaction that resulted in the stockholder becoming an interested stockholder;</w:t>
      </w:r>
    </w:p>
    <w:p>
      <w:pPr>
        <w:spacing w:after="0" w:line="53" w:lineRule="exact"/>
        <w:rPr>
          <w:rFonts w:ascii="Times New Roman" w:cs="Times New Roman" w:eastAsia="Times New Roman" w:hAnsi="Times New Roman"/>
          <w:sz w:val="14"/>
          <w:szCs w:val="14"/>
          <w:color w:val="auto"/>
        </w:rPr>
      </w:pPr>
    </w:p>
    <w:p>
      <w:pPr>
        <w:ind w:left="2160" w:right="659" w:hanging="342"/>
        <w:spacing w:after="0" w:line="318" w:lineRule="auto"/>
        <w:tabs>
          <w:tab w:leader="none" w:pos="216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30" w:lineRule="exact"/>
        <w:rPr>
          <w:rFonts w:ascii="Times New Roman" w:cs="Times New Roman" w:eastAsia="Times New Roman" w:hAnsi="Times New Roman"/>
          <w:sz w:val="13"/>
          <w:szCs w:val="13"/>
          <w:color w:val="auto"/>
        </w:rPr>
      </w:pPr>
    </w:p>
    <w:p>
      <w:pPr>
        <w:ind w:left="2160" w:right="479" w:hanging="342"/>
        <w:spacing w:after="0" w:line="294" w:lineRule="auto"/>
        <w:tabs>
          <w:tab w:leader="none" w:pos="21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or subsequent to that time, the business combination is approved by our board of directors and by the affirmative vote of holders of at least 66</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4"/>
          <w:szCs w:val="14"/>
          <w:color w:val="auto"/>
        </w:rPr>
        <w:t>/</w:t>
      </w:r>
      <w:r>
        <w:rPr>
          <w:rFonts w:ascii="Times New Roman" w:cs="Times New Roman" w:eastAsia="Times New Roman" w:hAnsi="Times New Roman"/>
          <w:sz w:val="20"/>
          <w:szCs w:val="20"/>
          <w:color w:val="auto"/>
          <w:vertAlign w:val="subscript"/>
        </w:rPr>
        <w:t>3</w:t>
      </w:r>
      <w:r>
        <w:rPr>
          <w:rFonts w:ascii="Times New Roman" w:cs="Times New Roman" w:eastAsia="Times New Roman" w:hAnsi="Times New Roman"/>
          <w:sz w:val="14"/>
          <w:szCs w:val="14"/>
          <w:color w:val="auto"/>
        </w:rPr>
        <w:t>% of our outstanding voting stock that is not owned by the interested stockholder.</w:t>
      </w:r>
    </w:p>
    <w:p>
      <w:pPr>
        <w:spacing w:after="0" w:line="20" w:lineRule="exact"/>
        <w:rPr>
          <w:sz w:val="20"/>
          <w:szCs w:val="20"/>
          <w:color w:val="auto"/>
        </w:rPr>
      </w:pPr>
    </w:p>
    <w:p>
      <w:pPr>
        <w:ind w:left="1400" w:right="299" w:firstLine="339"/>
        <w:spacing w:after="0" w:line="255" w:lineRule="auto"/>
        <w:rPr>
          <w:sz w:val="20"/>
          <w:szCs w:val="20"/>
          <w:color w:val="auto"/>
        </w:rPr>
      </w:pPr>
      <w:r>
        <w:rPr>
          <w:rFonts w:ascii="Times New Roman" w:cs="Times New Roman" w:eastAsia="Times New Roman" w:hAnsi="Times New Roman"/>
          <w:sz w:val="14"/>
          <w:szCs w:val="14"/>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outstanding voting stock and was an affiliate of us. For purposes of this section only, “voting stock” generally means any class or series of our stock that is entitled to vote generally in the election of directors. References to a percentage of voting stock in this section refer to the percentage of the votes of such voting stock.</w:t>
      </w:r>
    </w:p>
    <w:p>
      <w:pPr>
        <w:spacing w:after="0" w:line="143" w:lineRule="exact"/>
        <w:rPr>
          <w:sz w:val="20"/>
          <w:szCs w:val="20"/>
          <w:color w:val="auto"/>
        </w:rPr>
      </w:pPr>
    </w:p>
    <w:p>
      <w:pPr>
        <w:ind w:left="1400" w:right="379" w:firstLine="339"/>
        <w:spacing w:after="0" w:line="254" w:lineRule="auto"/>
        <w:rPr>
          <w:sz w:val="20"/>
          <w:szCs w:val="20"/>
          <w:color w:val="auto"/>
        </w:rPr>
      </w:pPr>
      <w:r>
        <w:rPr>
          <w:rFonts w:ascii="Times New Roman" w:cs="Times New Roman" w:eastAsia="Times New Roman" w:hAnsi="Times New Roman"/>
          <w:sz w:val="14"/>
          <w:szCs w:val="14"/>
          <w:color w:val="auto"/>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of directors because the stockholder approval requirement would be avoided if our board of directors approves either the business combination or the transaction that results in the stockholder becoming an interested stockholder. These provisions also may have the effect of preventing changes in our board of directors and may make it more difficult to accomplish transactions that stockholders may otherwise deem to be in their best interests.</w:t>
      </w:r>
    </w:p>
    <w:p>
      <w:pPr>
        <w:spacing w:after="0" w:line="142" w:lineRule="exact"/>
        <w:rPr>
          <w:sz w:val="20"/>
          <w:szCs w:val="20"/>
          <w:color w:val="auto"/>
        </w:rPr>
      </w:pPr>
    </w:p>
    <w:p>
      <w:pPr>
        <w:ind w:left="1400" w:right="439" w:firstLine="339"/>
        <w:spacing w:after="0" w:line="263" w:lineRule="auto"/>
        <w:rPr>
          <w:sz w:val="20"/>
          <w:szCs w:val="20"/>
          <w:color w:val="auto"/>
        </w:rPr>
      </w:pPr>
      <w:r>
        <w:rPr>
          <w:rFonts w:ascii="Times New Roman" w:cs="Times New Roman" w:eastAsia="Times New Roman" w:hAnsi="Times New Roman"/>
          <w:sz w:val="14"/>
          <w:szCs w:val="14"/>
          <w:color w:val="auto"/>
        </w:rPr>
        <w:t>Our amended and restated certificate of incorporation provides that our Designating Stockholders and their affiliates, and any of their respective direct or indirect transferees, and any group as to which such persons are a party, do not constitute “interested stockholders” for purposes of this provision.</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No Cumulative Voting</w:t>
      </w:r>
    </w:p>
    <w:p>
      <w:pPr>
        <w:spacing w:after="0" w:line="91" w:lineRule="exact"/>
        <w:rPr>
          <w:sz w:val="20"/>
          <w:szCs w:val="20"/>
          <w:color w:val="auto"/>
        </w:rPr>
      </w:pPr>
    </w:p>
    <w:p>
      <w:pPr>
        <w:ind w:left="1400" w:right="319" w:firstLine="339"/>
        <w:spacing w:after="0" w:line="278" w:lineRule="auto"/>
        <w:rPr>
          <w:sz w:val="20"/>
          <w:szCs w:val="20"/>
          <w:color w:val="auto"/>
        </w:rPr>
      </w:pPr>
      <w:r>
        <w:rPr>
          <w:rFonts w:ascii="Times New Roman" w:cs="Times New Roman" w:eastAsia="Times New Roman" w:hAnsi="Times New Roman"/>
          <w:sz w:val="14"/>
          <w:szCs w:val="14"/>
          <w:color w:val="auto"/>
        </w:rPr>
        <w:t>Under Delaware law, the right to vote cumulatively does not exist unless the certificate of incorporation specifically authorizes cumulative voting. Our amended and restated certificate of incorporation does not</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54</w:t>
      </w:r>
    </w:p>
    <w:p>
      <w:pPr>
        <w:sectPr>
          <w:pgSz w:w="11900" w:h="16838" w:orient="portrait"/>
          <w:cols w:equalWidth="0" w:num="1">
            <w:col w:w="10159"/>
          </w:cols>
          <w:pgMar w:left="300" w:top="383" w:right="144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659"/>
        <w:spacing w:after="0" w:line="278" w:lineRule="auto"/>
        <w:rPr>
          <w:sz w:val="20"/>
          <w:szCs w:val="20"/>
          <w:color w:val="auto"/>
        </w:rPr>
      </w:pPr>
      <w:r>
        <w:rPr>
          <w:rFonts w:ascii="Times New Roman" w:cs="Times New Roman" w:eastAsia="Times New Roman" w:hAnsi="Times New Roman"/>
          <w:sz w:val="14"/>
          <w:szCs w:val="14"/>
          <w:color w:val="auto"/>
        </w:rPr>
        <w:t>authorize cumulative voting. Therefore, stockholders holding a majority in voting power of the shares of our stock entitled to vote generally in the election of directors will be able to elect all of our directors.</w:t>
      </w:r>
    </w:p>
    <w:p>
      <w:pPr>
        <w:spacing w:after="0" w:line="20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Special Stockholder Meetings</w:t>
      </w:r>
    </w:p>
    <w:p>
      <w:pPr>
        <w:spacing w:after="0" w:line="91" w:lineRule="exact"/>
        <w:rPr>
          <w:sz w:val="20"/>
          <w:szCs w:val="20"/>
          <w:color w:val="auto"/>
        </w:rPr>
      </w:pPr>
    </w:p>
    <w:p>
      <w:pPr>
        <w:ind w:left="1400" w:right="279" w:firstLine="339"/>
        <w:spacing w:after="0" w:line="253" w:lineRule="auto"/>
        <w:rPr>
          <w:sz w:val="20"/>
          <w:szCs w:val="20"/>
          <w:color w:val="auto"/>
        </w:rPr>
      </w:pPr>
      <w:r>
        <w:rPr>
          <w:rFonts w:ascii="Times New Roman" w:cs="Times New Roman" w:eastAsia="Times New Roman" w:hAnsi="Times New Roman"/>
          <w:sz w:val="14"/>
          <w:szCs w:val="14"/>
          <w:color w:val="auto"/>
        </w:rPr>
        <w:t>Our amended and restated certificate of incorporation provides that special meetings of our stockholders may be called at any time only by or at the direction of the board of directors, the chair of our board, or the chief executive officer; provided, however, that at any time when our Designating Stockholders collectively beneficially own, in the aggregate, at least 30% in voting power of the stock entitled to vote generally in the election of directors, special meetings of our stockholders shall also be called by the board of directors or the chair of the board of directors at the request of a Designating Stockholder. Our amended and restated bylaws prohibit the conduct of any business at a special meeting other than as specified in the notice for such meeting. These provisions may have the effect of deterring, delaying, or discouraging hostile takeovers, or changes in control or management of the Company.</w:t>
      </w:r>
    </w:p>
    <w:p>
      <w:pPr>
        <w:spacing w:after="0" w:line="2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Director Nominations and Stockholder Proposals</w:t>
      </w:r>
    </w:p>
    <w:p>
      <w:pPr>
        <w:spacing w:after="0" w:line="91" w:lineRule="exact"/>
        <w:rPr>
          <w:sz w:val="20"/>
          <w:szCs w:val="20"/>
          <w:color w:val="auto"/>
        </w:rPr>
      </w:pPr>
    </w:p>
    <w:p>
      <w:pPr>
        <w:ind w:left="1400" w:right="339" w:firstLine="339"/>
        <w:spacing w:after="0" w:line="251" w:lineRule="auto"/>
        <w:rPr>
          <w:sz w:val="20"/>
          <w:szCs w:val="20"/>
          <w:color w:val="auto"/>
        </w:rPr>
      </w:pPr>
      <w:r>
        <w:rPr>
          <w:rFonts w:ascii="Times New Roman" w:cs="Times New Roman" w:eastAsia="Times New Roman" w:hAnsi="Times New Roman"/>
          <w:sz w:val="14"/>
          <w:szCs w:val="14"/>
          <w:color w:val="auto"/>
        </w:rPr>
        <w:t>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will have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Our amended and restated bylaws also specify requirements as to the form and content of a stockholder’s notice. These provisions do not apply to the parties to the director nomination agreements so long as the relevant agreements remains in effect. Our amended and restated bylaws allow the chair of the meeting at a meeting of the stockholders to adopt rules and regulations for the conduct of meetings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the Company.</w:t>
      </w:r>
    </w:p>
    <w:p>
      <w:pPr>
        <w:spacing w:after="0" w:line="22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Stockholder Action by Consent</w:t>
      </w:r>
    </w:p>
    <w:p>
      <w:pPr>
        <w:spacing w:after="0" w:line="91" w:lineRule="exact"/>
        <w:rPr>
          <w:sz w:val="20"/>
          <w:szCs w:val="20"/>
          <w:color w:val="auto"/>
        </w:rPr>
      </w:pPr>
    </w:p>
    <w:p>
      <w:pPr>
        <w:ind w:left="1400" w:right="279" w:firstLine="339"/>
        <w:spacing w:after="0" w:line="250" w:lineRule="auto"/>
        <w:rPr>
          <w:sz w:val="20"/>
          <w:szCs w:val="20"/>
          <w:color w:val="auto"/>
        </w:rPr>
      </w:pPr>
      <w:r>
        <w:rPr>
          <w:rFonts w:ascii="Times New Roman" w:cs="Times New Roman" w:eastAsia="Times New Roman" w:hAnsi="Times New Roman"/>
          <w:sz w:val="14"/>
          <w:szCs w:val="14"/>
          <w:color w:val="auto"/>
        </w:rPr>
        <w:t>Pursuant to Section 228 of the DGCL, any action required or permitted to be taken at any annual or special meeting of the stockholders may be taken without a meeting, without prior notice, and without a vote if a consent or consents, setting forth the action so taken, is or are signed by the holders of outstanding stock having not less than the minimum number of votes that would be necessary to authorize or take such action at a meeting at which all shares of our stock entitled to vote thereon were present and voted, unless our amended and restated certificate of incorporation provides otherwise. Our amended and restated certificate of incorporation does not permit our Class A common stockholders to act by consent in lieu of a meeting from and after the date on which our Designating Stockholders cease to beneficially own or control, in the aggregate, at least 30% of the total voting power of all then outstanding shares of our capital stock entitled to vote generally in the election of directors unless such action is recommended by all directors then in office, but it does provide that any action required or permitted to be taken by holders of our Class B common stock, voting separately as a class, or, to the extent expressly permitted by any certificate of designation relating to one or more series of our preferred stock, by the holders of such series of preferred stock, voting separately as a series or separately as a class with one or more other such series, may be taken by consent in lieu of a meeting if a consent or consents, setting forth the action so taken, is or are signed by the holders of outstanding shares of the relevant class or series having not less than the minimum number of votes that would be necessary to authorize or take such action at a meeting at which all shares entitled to vote thereon were present and voted.</w:t>
      </w:r>
    </w:p>
    <w:p>
      <w:pPr>
        <w:spacing w:after="0" w:line="9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55</w:t>
      </w:r>
    </w:p>
    <w:p>
      <w:pPr>
        <w:sectPr>
          <w:pgSz w:w="11900" w:h="16838" w:orient="portrait"/>
          <w:cols w:equalWidth="0" w:num="1">
            <w:col w:w="10159"/>
          </w:cols>
          <w:pgMar w:left="300" w:top="383" w:right="14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Dissenters’ Rights of Appraisal and Payment</w:t>
      </w:r>
    </w:p>
    <w:p>
      <w:pPr>
        <w:spacing w:after="0" w:line="91" w:lineRule="exact"/>
        <w:rPr>
          <w:sz w:val="20"/>
          <w:szCs w:val="20"/>
          <w:color w:val="auto"/>
        </w:rPr>
      </w:pPr>
    </w:p>
    <w:p>
      <w:pPr>
        <w:ind w:left="1400" w:right="339" w:firstLine="339"/>
        <w:spacing w:after="0" w:line="254" w:lineRule="auto"/>
        <w:rPr>
          <w:sz w:val="20"/>
          <w:szCs w:val="20"/>
          <w:color w:val="auto"/>
        </w:rPr>
      </w:pPr>
      <w:r>
        <w:rPr>
          <w:rFonts w:ascii="Times New Roman" w:cs="Times New Roman" w:eastAsia="Times New Roman" w:hAnsi="Times New Roman"/>
          <w:sz w:val="14"/>
          <w:szCs w:val="14"/>
          <w:color w:val="auto"/>
        </w:rPr>
        <w:t>Under the DGCL, with certain exceptions, our stockholders have appraisal rights in connection with a merger, consolidation, statutory conversion or statutory domestication, transfer, or continuance in which we are a constituent entity. Pursuant to the DGCL, stockholders who properly demand and perfect appraisal rights in connection with such merger, consolidation, statutory conversion or statutory domestication, transfer, or continuance have the right to receive payment of the fair value of their shares as determined by the Delaware Court of Chancery, plus interest, if any, on the amount determined to be the fair value, from the effective time of the merger, consolidation, statutory conversion or statutory domestication, transfer, or continuance through the date of payment of the judgment.</w:t>
      </w:r>
    </w:p>
    <w:p>
      <w:pPr>
        <w:spacing w:after="0" w:line="2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Stockholders’ Derivative Actions</w:t>
      </w:r>
    </w:p>
    <w:p>
      <w:pPr>
        <w:spacing w:after="0" w:line="91" w:lineRule="exact"/>
        <w:rPr>
          <w:sz w:val="20"/>
          <w:szCs w:val="20"/>
          <w:color w:val="auto"/>
        </w:rPr>
      </w:pPr>
    </w:p>
    <w:p>
      <w:pPr>
        <w:ind w:left="1400" w:right="359" w:firstLine="339"/>
        <w:spacing w:after="0" w:line="275" w:lineRule="auto"/>
        <w:rPr>
          <w:sz w:val="20"/>
          <w:szCs w:val="20"/>
          <w:color w:val="auto"/>
        </w:rPr>
      </w:pPr>
      <w:r>
        <w:rPr>
          <w:rFonts w:ascii="Times New Roman" w:cs="Times New Roman" w:eastAsia="Times New Roman" w:hAnsi="Times New Roman"/>
          <w:sz w:val="13"/>
          <w:szCs w:val="13"/>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 To bring such an action, the stockholder must otherwise comply with Delaware law regarding derivative actions, including by making a pre-suit demand on our board of directors or satisfying its burden to show that any pre-suit demand would be futile. Our amended and restated certificate of incorporation has vested an independent and disinterested litigation demand committee with sole and exclusive authority to consider the merits of any such demands and make decisions and taken actions with respect to any such demands, including whether to initiate a proceeding. This provision may affect a stockholder’s ability to commence or control a derivative proceeding.</w:t>
      </w:r>
    </w:p>
    <w:p>
      <w:pPr>
        <w:spacing w:after="0" w:line="21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Exclusive Forum</w:t>
      </w:r>
    </w:p>
    <w:p>
      <w:pPr>
        <w:spacing w:after="0" w:line="91" w:lineRule="exact"/>
        <w:rPr>
          <w:sz w:val="20"/>
          <w:szCs w:val="20"/>
          <w:color w:val="auto"/>
        </w:rPr>
      </w:pPr>
    </w:p>
    <w:p>
      <w:pPr>
        <w:ind w:left="1400" w:right="579" w:firstLine="339"/>
        <w:spacing w:after="0" w:line="278" w:lineRule="auto"/>
        <w:rPr>
          <w:sz w:val="20"/>
          <w:szCs w:val="20"/>
          <w:color w:val="auto"/>
        </w:rPr>
      </w:pPr>
      <w:r>
        <w:rPr>
          <w:rFonts w:ascii="Times New Roman" w:cs="Times New Roman" w:eastAsia="Times New Roman" w:hAnsi="Times New Roman"/>
          <w:sz w:val="14"/>
          <w:szCs w:val="14"/>
          <w:color w:val="auto"/>
        </w:rPr>
        <w:t>To prevent having to litigate claims in multiple jurisdictions and the threat of inconsistent or contrary rulings by different courts, among other considerations, our amended and restated certificate of incorporation includes forum selection provisions.</w:t>
      </w:r>
    </w:p>
    <w:p>
      <w:pPr>
        <w:spacing w:after="0" w:line="126" w:lineRule="exact"/>
        <w:rPr>
          <w:sz w:val="20"/>
          <w:szCs w:val="20"/>
          <w:color w:val="auto"/>
        </w:rPr>
      </w:pPr>
    </w:p>
    <w:p>
      <w:pPr>
        <w:ind w:left="1400" w:right="299" w:firstLine="339"/>
        <w:spacing w:after="0" w:line="254" w:lineRule="auto"/>
        <w:rPr>
          <w:sz w:val="20"/>
          <w:szCs w:val="20"/>
          <w:color w:val="auto"/>
        </w:rPr>
      </w:pPr>
      <w:r>
        <w:rPr>
          <w:rFonts w:ascii="Times New Roman" w:cs="Times New Roman" w:eastAsia="Times New Roman" w:hAnsi="Times New Roman"/>
          <w:sz w:val="14"/>
          <w:szCs w:val="14"/>
          <w:color w:val="auto"/>
        </w:rPr>
        <w:t>More specifically, our amended and restated certificate of incorporation provides that, unless we consent in writing to the selection of an alternative forum, the Court of Chancery of the State of Delaware will, to the fullest extent permitted by law, be the sole and exclusive forum for: (i) any derivative action or proceeding brought on our behalf; (ii) any action asserting a breach of fiduciary duty owed by any current or former director, officer, stockholder, or employee of the company to the company or our stockholders; (iii) any action asserting a claim against us arising under the DGCL, our amended and restated certificate of incorporation or our amended and restated bylaws or as to which the DGCL confers jurisdiction on the Court of Chancery of the State of Delaware; or (iv) any action asserting a claim against us that is governed by the internal affairs doctrine.</w:t>
      </w:r>
    </w:p>
    <w:p>
      <w:pPr>
        <w:spacing w:after="0" w:line="142" w:lineRule="exact"/>
        <w:rPr>
          <w:sz w:val="20"/>
          <w:szCs w:val="20"/>
          <w:color w:val="auto"/>
        </w:rPr>
      </w:pPr>
    </w:p>
    <w:p>
      <w:pPr>
        <w:ind w:left="1400" w:right="279" w:firstLine="339"/>
        <w:spacing w:after="0" w:line="252" w:lineRule="auto"/>
        <w:rPr>
          <w:sz w:val="20"/>
          <w:szCs w:val="20"/>
          <w:color w:val="auto"/>
        </w:rPr>
      </w:pPr>
      <w:r>
        <w:rPr>
          <w:rFonts w:ascii="Times New Roman" w:cs="Times New Roman" w:eastAsia="Times New Roman" w:hAnsi="Times New Roman"/>
          <w:sz w:val="14"/>
          <w:szCs w:val="14"/>
          <w:color w:val="auto"/>
        </w:rPr>
        <w:t>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Our amended and restated certificate of incorporation further provides that, unless we consent in writing to the selection of an alternative forum, to the fullest extent permitted by law, the federal district courts of the United States of America will be the exclusive forum for the resolution of any complaint asserting a cause of action arising under the federal securities laws of the United States, including, in each case, the applicable rules and regulations promulgated thereunder. It is possible that a court could find our forum selection provisions to be inapplicable or unenforceable and, accordingly, we could be required to litigate claims in multiple jurisdictions, incur additional costs or otherwise not receive the benefits that we expect our forum selection provisions to provide.</w:t>
      </w:r>
    </w:p>
    <w:p>
      <w:pPr>
        <w:spacing w:after="0" w:line="145" w:lineRule="exact"/>
        <w:rPr>
          <w:sz w:val="20"/>
          <w:szCs w:val="20"/>
          <w:color w:val="auto"/>
        </w:rPr>
      </w:pPr>
    </w:p>
    <w:p>
      <w:pPr>
        <w:ind w:left="1400" w:right="419" w:firstLine="339"/>
        <w:spacing w:after="0" w:line="278" w:lineRule="auto"/>
        <w:rPr>
          <w:sz w:val="20"/>
          <w:szCs w:val="20"/>
          <w:color w:val="auto"/>
        </w:rPr>
      </w:pPr>
      <w:r>
        <w:rPr>
          <w:rFonts w:ascii="Times New Roman" w:cs="Times New Roman" w:eastAsia="Times New Roman" w:hAnsi="Times New Roman"/>
          <w:sz w:val="14"/>
          <w:szCs w:val="14"/>
          <w:color w:val="auto"/>
        </w:rPr>
        <w:t>To the fullest extent permitted by law, any person or entity purchasing or otherwise acquiring or holding any interest in shares of capital stock of our company shall be deemed to have notice of and consented to the forum</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56</w:t>
      </w:r>
    </w:p>
    <w:p>
      <w:pPr>
        <w:sectPr>
          <w:pgSz w:w="11900" w:h="16838" w:orient="portrait"/>
          <w:cols w:equalWidth="0" w:num="1">
            <w:col w:w="10159"/>
          </w:cols>
          <w:pgMar w:left="300" w:top="383" w:right="144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99"/>
        <w:spacing w:after="0" w:line="277" w:lineRule="auto"/>
        <w:rPr>
          <w:sz w:val="20"/>
          <w:szCs w:val="20"/>
          <w:color w:val="auto"/>
        </w:rPr>
      </w:pPr>
      <w:r>
        <w:rPr>
          <w:rFonts w:ascii="Times New Roman" w:cs="Times New Roman" w:eastAsia="Times New Roman" w:hAnsi="Times New Roman"/>
          <w:sz w:val="13"/>
          <w:szCs w:val="13"/>
          <w:color w:val="auto"/>
        </w:rPr>
        <w:t>provisions in our amended and restated certificate of incorporation. However, investors will not be deemed to have waived compliance with the federal securities laws and the rules and regulations thereunder as a result of our forum selection provisions. See “Part I—Item 1A—Risk Factors—Risks Related to Ownership of our Class A Common Stock—Our amended and restated certificate of incorporation designates the Court of Chancery of the State of Delaware or the federal district courts of the United States of America, as applicable, as the sole and exclusive forum for certain types of actions and proceedings that may be initiated by our stockholders, which could limit our stockholders’ ability to obtain a favorable judicial forum for disputes with the Company or the Company’s directors, officers, or other employees” in our 2025 Form 10-K incorporated by reference in this prospectus.</w:t>
      </w:r>
    </w:p>
    <w:p>
      <w:pPr>
        <w:spacing w:after="0" w:line="21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Conflicts of Interest</w:t>
      </w:r>
    </w:p>
    <w:p>
      <w:pPr>
        <w:spacing w:after="0" w:line="91" w:lineRule="exact"/>
        <w:rPr>
          <w:sz w:val="20"/>
          <w:szCs w:val="20"/>
          <w:color w:val="auto"/>
        </w:rPr>
      </w:pPr>
    </w:p>
    <w:p>
      <w:pPr>
        <w:ind w:left="1400" w:right="319" w:firstLine="339"/>
        <w:spacing w:after="0" w:line="270" w:lineRule="auto"/>
        <w:rPr>
          <w:sz w:val="20"/>
          <w:szCs w:val="20"/>
          <w:color w:val="auto"/>
        </w:rPr>
      </w:pPr>
      <w:r>
        <w:rPr>
          <w:rFonts w:ascii="Times New Roman" w:cs="Times New Roman" w:eastAsia="Times New Roman" w:hAnsi="Times New Roman"/>
          <w:sz w:val="13"/>
          <w:szCs w:val="13"/>
          <w:color w:val="auto"/>
        </w:rPr>
        <w:t>Delaware law permits corporations to adopt provisions renouncing any interest or expectancy in certain opportunities that are presented to the corporation or its officers, directors or stockholders. Our amended and restated certificate of incorporation, to the maximum extent permitted from time to time by Delaware law, renounces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As a consequence of this waiver, none of our Sponsors, the Mills Family, subject to limited exceptions, or any of their respective affiliates or any of our directors who are not employed by us (including any non-employee director who serves as one of our officers in both their director and officer capacities) or their affiliates will have any duty to refrain from</w:t>
      </w:r>
    </w:p>
    <w:p>
      <w:pPr>
        <w:spacing w:after="0" w:line="2" w:lineRule="exact"/>
        <w:rPr>
          <w:sz w:val="20"/>
          <w:szCs w:val="20"/>
          <w:color w:val="auto"/>
        </w:rPr>
      </w:pPr>
    </w:p>
    <w:p>
      <w:pPr>
        <w:ind w:left="1560" w:hanging="158"/>
        <w:spacing w:after="0"/>
        <w:tabs>
          <w:tab w:leader="none" w:pos="15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engaging in a corporate opportunity in the same or similar lines of business in which we or our affiliates now engage or propose to engage or</w:t>
      </w:r>
    </w:p>
    <w:p>
      <w:pPr>
        <w:spacing w:after="0" w:line="5" w:lineRule="exact"/>
        <w:rPr>
          <w:rFonts w:ascii="Times New Roman" w:cs="Times New Roman" w:eastAsia="Times New Roman" w:hAnsi="Times New Roman"/>
          <w:sz w:val="14"/>
          <w:szCs w:val="14"/>
          <w:color w:val="auto"/>
        </w:rPr>
      </w:pPr>
    </w:p>
    <w:p>
      <w:pPr>
        <w:ind w:left="1400" w:right="299" w:firstLine="2"/>
        <w:spacing w:after="0" w:line="248" w:lineRule="auto"/>
        <w:tabs>
          <w:tab w:leader="none" w:pos="1604"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otherwise competing with us or our affiliates. In addition, to the fullest extent permitted by law, in the event that our Sponsors, the Mills Family or any non-employee director acquires knowledge of a potential transaction or other business opportunity which may be a corporate opportunity for itself or themselves or its or their affiliates or for us or our affiliates, as a consequence of this waiver, such person will have no duty to communicate or offer such transaction or business opportunity to us or any of our affiliates and they may take any such opportunity for themselves or offer it to another person or entity. Our amended and restated certificate of incorporation does not renounce our interest in any business opportunity that is expressly offered to a non-employee director solely in their capacity as a director or officer of the Company. To the fullest extent permitted by law, no business opportunity will be deemed to be a potential corporate opportunity for us unless we would be permitted to undertake the opportunity under our amended and restated certificate of incorporation, we have sufficient financial resources to undertake the opportunity and the opportunity would be in line with our business. The director nomination agreements we entered into with the Designating Stockholders also contains provisions providing the Designating Stockholders with access to our corporate information.</w:t>
      </w:r>
    </w:p>
    <w:p>
      <w:pPr>
        <w:spacing w:after="0" w:line="23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Limitations on Liability and Indemnification of Officers and Directors</w:t>
      </w:r>
    </w:p>
    <w:p>
      <w:pPr>
        <w:spacing w:after="0" w:line="91" w:lineRule="exact"/>
        <w:rPr>
          <w:sz w:val="20"/>
          <w:szCs w:val="20"/>
          <w:color w:val="auto"/>
        </w:rPr>
      </w:pPr>
    </w:p>
    <w:p>
      <w:pPr>
        <w:ind w:left="1400" w:right="339" w:firstLine="339"/>
        <w:spacing w:after="0" w:line="251" w:lineRule="auto"/>
        <w:rPr>
          <w:sz w:val="20"/>
          <w:szCs w:val="20"/>
          <w:color w:val="auto"/>
        </w:rPr>
      </w:pPr>
      <w:r>
        <w:rPr>
          <w:rFonts w:ascii="Times New Roman" w:cs="Times New Roman" w:eastAsia="Times New Roman" w:hAnsi="Times New Roman"/>
          <w:sz w:val="14"/>
          <w:szCs w:val="14"/>
          <w:color w:val="auto"/>
        </w:rPr>
        <w:t>The DGCL authorizes corporations to limit or eliminate the personal liability of directors and certain officers to corporations and their stockholders for monetary damages for breaches of their fiduciary duties, subject to certain exceptions. Our amended and restated certificate of incorporation includes a provision that eliminates the personal liability of directors and officers for monetary damages to the corporation or its stockholders for any breach of fiduciary duty as a director or officer, except to the extent such exemption from liability or limitation thereof is not permitted under the DGCL. The effect of these provisions is to eliminate the rights of us and our stockholders to recover monetary damages from a director or officer for breach of fiduciary duty as a director or officer, including breaches resulting from grossly negligent behavior. Under current law, this provision will not limit or eliminate the liability of any officer in any action by or in the right of the Company, including any derivative claim. Further, the exculpation from liability for monetary damages does not apply to any director or officer if the director or officer has breached their duty of loyalty to the corporation and its stockholders, acted in bad faith, knowingly or intentionally violated the law, or derived an improper benefit from their actions as a director or officer. In addition, exculpation does not apply to any director in connection with the authorization of illegal dividends, redemptions or stock repurchases.</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57</w:t>
      </w:r>
    </w:p>
    <w:p>
      <w:pPr>
        <w:sectPr>
          <w:pgSz w:w="11900" w:h="16838" w:orient="portrait"/>
          <w:cols w:equalWidth="0" w:num="1">
            <w:col w:w="10159"/>
          </w:cols>
          <w:pgMar w:left="300" w:top="383" w:right="1440"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39" w:firstLine="339"/>
        <w:spacing w:after="0" w:line="258" w:lineRule="auto"/>
        <w:rPr>
          <w:sz w:val="20"/>
          <w:szCs w:val="20"/>
          <w:color w:val="auto"/>
        </w:rPr>
      </w:pPr>
      <w:r>
        <w:rPr>
          <w:rFonts w:ascii="Times New Roman" w:cs="Times New Roman" w:eastAsia="Times New Roman" w:hAnsi="Times New Roman"/>
          <w:sz w:val="14"/>
          <w:szCs w:val="14"/>
          <w:color w:val="auto"/>
        </w:rPr>
        <w:t>Our amended and restated bylaws generally provide that we must indemnify and advance expenses to our directors and officers to the fullest extent authorized by the DGCL, subject to limited exceptions. We also are expressly authorized to carry directors’ and officers’ liability insurance providing indemnification for our directors, officers, and certain employees for some liabilities. We believe that these indemnification and advancement provisions and insurance are useful to attract and retain qualified directors and executive officers.</w:t>
      </w:r>
    </w:p>
    <w:p>
      <w:pPr>
        <w:spacing w:after="0" w:line="140" w:lineRule="exact"/>
        <w:rPr>
          <w:sz w:val="20"/>
          <w:szCs w:val="20"/>
          <w:color w:val="auto"/>
        </w:rPr>
      </w:pPr>
    </w:p>
    <w:p>
      <w:pPr>
        <w:ind w:left="1400" w:right="299" w:firstLine="339"/>
        <w:spacing w:after="0" w:line="255" w:lineRule="auto"/>
        <w:rPr>
          <w:sz w:val="20"/>
          <w:szCs w:val="20"/>
          <w:color w:val="auto"/>
        </w:rPr>
      </w:pPr>
      <w:r>
        <w:rPr>
          <w:rFonts w:ascii="Times New Roman" w:cs="Times New Roman" w:eastAsia="Times New Roman" w:hAnsi="Times New Roman"/>
          <w:sz w:val="14"/>
          <w:szCs w:val="14"/>
          <w:color w:val="auto"/>
        </w:rPr>
        <w:t>The limitation of liability, indemnification, and advancement provisions in our amended and restated certificate of incorporation and amended and restated bylaws may discourage stockholders from bringing a lawsuit against directors and officers for breach of their fiduciary duty. These provisions also may have the effect of reducing the likelihood of derivative litigation against directors,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143" w:lineRule="exact"/>
        <w:rPr>
          <w:sz w:val="20"/>
          <w:szCs w:val="20"/>
          <w:color w:val="auto"/>
        </w:rPr>
      </w:pPr>
    </w:p>
    <w:p>
      <w:pPr>
        <w:ind w:left="1400" w:right="379" w:firstLine="339"/>
        <w:spacing w:after="0" w:line="278" w:lineRule="auto"/>
        <w:rPr>
          <w:sz w:val="20"/>
          <w:szCs w:val="20"/>
          <w:color w:val="auto"/>
        </w:rPr>
      </w:pPr>
      <w:r>
        <w:rPr>
          <w:rFonts w:ascii="Times New Roman" w:cs="Times New Roman" w:eastAsia="Times New Roman" w:hAnsi="Times New Roman"/>
          <w:sz w:val="14"/>
          <w:szCs w:val="14"/>
          <w:color w:val="auto"/>
        </w:rPr>
        <w:t>There is currently no pending material litigation or proceeding involving any of our directors, officers or employees for which indemnification is sought.</w:t>
      </w:r>
    </w:p>
    <w:p>
      <w:pPr>
        <w:spacing w:after="0" w:line="20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9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The transfer agent and registrar for shares of our Class A common stock is Equiniti Trust Company, LLC.</w:t>
      </w:r>
    </w:p>
    <w:p>
      <w:pPr>
        <w:spacing w:after="0" w:line="25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Listing</w:t>
      </w:r>
    </w:p>
    <w:p>
      <w:pPr>
        <w:spacing w:after="0" w:line="9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Our Class A common stock is listed on Nasdaq under the symbol “MDLN.”</w:t>
      </w:r>
    </w:p>
    <w:p>
      <w:pPr>
        <w:spacing w:after="0" w:line="1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58</w:t>
      </w:r>
    </w:p>
    <w:p>
      <w:pPr>
        <w:sectPr>
          <w:pgSz w:w="11900" w:h="16838" w:orient="portrait"/>
          <w:cols w:equalWidth="0" w:num="1">
            <w:col w:w="10159"/>
          </w:cols>
          <w:pgMar w:left="300" w:top="383" w:right="1440"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4"/>
          <w:szCs w:val="14"/>
          <w:b w:val="1"/>
          <w:bCs w:val="1"/>
          <w:color w:val="auto"/>
        </w:rPr>
        <w:t>CERTAIN U.S. FEDERAL INCOME TAX CONSEQUENCES TO NON-U.S. HOLDERS</w:t>
      </w:r>
    </w:p>
    <w:p>
      <w:pPr>
        <w:spacing w:after="0" w:line="174" w:lineRule="exact"/>
        <w:rPr>
          <w:sz w:val="20"/>
          <w:szCs w:val="20"/>
          <w:color w:val="auto"/>
        </w:rPr>
      </w:pPr>
    </w:p>
    <w:p>
      <w:pPr>
        <w:ind w:left="1400" w:right="319" w:firstLine="339"/>
        <w:spacing w:after="0" w:line="279" w:lineRule="auto"/>
        <w:rPr>
          <w:sz w:val="20"/>
          <w:szCs w:val="20"/>
          <w:color w:val="auto"/>
        </w:rPr>
      </w:pPr>
      <w:r>
        <w:rPr>
          <w:rFonts w:ascii="Times New Roman" w:cs="Times New Roman" w:eastAsia="Times New Roman" w:hAnsi="Times New Roman"/>
          <w:sz w:val="13"/>
          <w:szCs w:val="13"/>
          <w:color w:val="auto"/>
        </w:rPr>
        <w:t>The following is a summary of material U.S. federal income tax consequences to a non-U.S. holder (as defined herein) of the purchase, ownership and disposition of shares of our Class A common stock but does not purport to be a complete analysis of all the potential tax considerations relating thereto. We have not sought, and do not intend to seek, any ruling from the IRS with respect to the statements made and the conclusions reached in the following summary. Accordingly, the discussion below neither binds the IRS nor the courts, and there can be no assurance that the IRS or a court will agree with such statements and conclusions. This summary deals only with Class A common stock that is held as a capital asset by a non-U.S. holder.</w:t>
      </w:r>
    </w:p>
    <w:p>
      <w:pPr>
        <w:spacing w:after="0" w:line="129" w:lineRule="exact"/>
        <w:rPr>
          <w:sz w:val="20"/>
          <w:szCs w:val="20"/>
          <w:color w:val="auto"/>
        </w:rPr>
      </w:pPr>
    </w:p>
    <w:p>
      <w:pPr>
        <w:ind w:left="1400" w:right="919" w:firstLine="339"/>
        <w:spacing w:after="0" w:line="278" w:lineRule="auto"/>
        <w:rPr>
          <w:sz w:val="20"/>
          <w:szCs w:val="20"/>
          <w:color w:val="auto"/>
        </w:rPr>
      </w:pPr>
      <w:r>
        <w:rPr>
          <w:rFonts w:ascii="Times New Roman" w:cs="Times New Roman" w:eastAsia="Times New Roman" w:hAnsi="Times New Roman"/>
          <w:sz w:val="14"/>
          <w:szCs w:val="14"/>
          <w:color w:val="auto"/>
        </w:rPr>
        <w:t>A “non-U.S. holder” means a beneficial owner of shares of our Class A common stock (other than an entity or arrangement treated as a partnership for U.S. federal income tax purposes) that is not, for U.S. federal income tax purposes, any of the following:</w:t>
      </w:r>
    </w:p>
    <w:p>
      <w:pPr>
        <w:spacing w:after="0" w:line="53" w:lineRule="exact"/>
        <w:rPr>
          <w:sz w:val="20"/>
          <w:szCs w:val="20"/>
          <w:color w:val="auto"/>
        </w:rPr>
      </w:pPr>
    </w:p>
    <w:p>
      <w:pPr>
        <w:ind w:left="2160" w:hanging="342"/>
        <w:spacing w:after="0"/>
        <w:tabs>
          <w:tab w:leader="none" w:pos="21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individual who is a citizen or resident of the United States;</w:t>
      </w:r>
    </w:p>
    <w:p>
      <w:pPr>
        <w:spacing w:after="0" w:line="98" w:lineRule="exact"/>
        <w:rPr>
          <w:rFonts w:ascii="Times New Roman" w:cs="Times New Roman" w:eastAsia="Times New Roman" w:hAnsi="Times New Roman"/>
          <w:sz w:val="14"/>
          <w:szCs w:val="14"/>
          <w:color w:val="auto"/>
        </w:rPr>
      </w:pPr>
    </w:p>
    <w:p>
      <w:pPr>
        <w:ind w:left="2160" w:right="279" w:hanging="342"/>
        <w:spacing w:after="0" w:line="278" w:lineRule="auto"/>
        <w:tabs>
          <w:tab w:leader="none" w:pos="21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(or any other entity treated as a corporation for U.S. federal income tax purposes) created or organized in or under the laws of the United States, any state thereof or the District of Columbia;</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estate the income of which is subject to U.S. federal income taxation regardless of its source; or</w:t>
      </w:r>
    </w:p>
    <w:p>
      <w:pPr>
        <w:spacing w:after="0" w:line="98" w:lineRule="exact"/>
        <w:rPr>
          <w:rFonts w:ascii="Times New Roman" w:cs="Times New Roman" w:eastAsia="Times New Roman" w:hAnsi="Times New Roman"/>
          <w:sz w:val="14"/>
          <w:szCs w:val="14"/>
          <w:color w:val="auto"/>
        </w:rPr>
      </w:pPr>
    </w:p>
    <w:p>
      <w:pPr>
        <w:ind w:left="2160" w:right="279" w:hanging="342"/>
        <w:spacing w:after="0" w:line="259" w:lineRule="auto"/>
        <w:tabs>
          <w:tab w:leader="none" w:pos="21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if it (1) is subject to the primary supervision of a court within the United States and one or more U.S. persons (within the meaning of the U.S. Internal Revenue Code of 1986, as amended (the “Code”)) have the authority to control all substantial decisions of the trust or</w:t>
      </w:r>
    </w:p>
    <w:p>
      <w:pPr>
        <w:ind w:left="21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 has a valid election in effect under applicable U.S. Treasury regulations to be treated as a U.S. person.</w:t>
      </w:r>
    </w:p>
    <w:p>
      <w:pPr>
        <w:spacing w:after="0" w:line="157" w:lineRule="exact"/>
        <w:rPr>
          <w:sz w:val="20"/>
          <w:szCs w:val="20"/>
          <w:color w:val="auto"/>
        </w:rPr>
      </w:pPr>
    </w:p>
    <w:p>
      <w:pPr>
        <w:ind w:left="1400" w:right="299" w:firstLine="339"/>
        <w:spacing w:after="0" w:line="271" w:lineRule="auto"/>
        <w:rPr>
          <w:sz w:val="20"/>
          <w:szCs w:val="20"/>
          <w:color w:val="auto"/>
        </w:rPr>
      </w:pPr>
      <w:r>
        <w:rPr>
          <w:rFonts w:ascii="Times New Roman" w:cs="Times New Roman" w:eastAsia="Times New Roman" w:hAnsi="Times New Roman"/>
          <w:sz w:val="13"/>
          <w:szCs w:val="13"/>
          <w:color w:val="auto"/>
        </w:rPr>
        <w:t>This summary is based upon provisions of the Code, and regulations, rulings and judicial decisions as of the date hereof. Those authorities may be changed, perhaps retroactively, so as to result in U.S. federal income tax consequences different from those summarized below. This summary does not address all of the U.S. federal income tax consequences that may be relevant to you in light of your particular circumstances, nor does it address the Medicare tax on net investment income, U.S. federal alternative minimum taxes, U.S. federal estate and gift taxes, or the effects of any state, local, or non-United States tax laws. In addition, it does not represent a detailed description of the U.S. federal income tax consequences applicable to you if you are subject to special treatment under the U.S. federal income tax laws (including if you are a U.S. expatriate, “controlled foreign corporation,” “passive foreign investment company,” a partnership or other pass-through entity for U.S. federal income tax purposes, tax-exempt organizations or governmental organizations, persons deemed to sell our common stock under the constructive sale provisions of the Code, persons who hold or receive our common stock pursuant to the exercise of any employee stock option or otherwise as compensation, tax-qualified retirement plans, “qualified foreign pension funds” as defined in the Code and entities all of the interests of which are held by qualified foreign pension funds or persons subject to special tax accounting rules as a result of any item of gross income with respect to the stock being taken into account in an applicable financial statement). We cannot assure you that a change in law will not alter significantly the tax considerations that we describe in this summary.</w:t>
      </w:r>
    </w:p>
    <w:p>
      <w:pPr>
        <w:spacing w:after="0" w:line="137" w:lineRule="exact"/>
        <w:rPr>
          <w:sz w:val="20"/>
          <w:szCs w:val="20"/>
          <w:color w:val="auto"/>
        </w:rPr>
      </w:pPr>
    </w:p>
    <w:p>
      <w:pPr>
        <w:jc w:val="both"/>
        <w:ind w:left="1400" w:right="319" w:firstLine="339"/>
        <w:spacing w:after="0" w:line="263" w:lineRule="auto"/>
        <w:rPr>
          <w:sz w:val="20"/>
          <w:szCs w:val="20"/>
          <w:color w:val="auto"/>
        </w:rPr>
      </w:pPr>
      <w:r>
        <w:rPr>
          <w:rFonts w:ascii="Times New Roman" w:cs="Times New Roman" w:eastAsia="Times New Roman" w:hAnsi="Times New Roman"/>
          <w:sz w:val="14"/>
          <w:szCs w:val="14"/>
          <w:color w:val="auto"/>
        </w:rPr>
        <w:t>If a partnership (or other entity or arrangement treated as a partnership for U.S. federal income tax purposes) holds shares of our Class A common stock, the tax treatment of a partner generally will depend upon the status of the partner and the activities of the partnership. If you are a partnership or a partner of a partnership considering an investment in our Class A common stock, you should consult your tax advisors.</w:t>
      </w:r>
    </w:p>
    <w:p>
      <w:pPr>
        <w:spacing w:after="0" w:line="134" w:lineRule="exact"/>
        <w:rPr>
          <w:sz w:val="20"/>
          <w:szCs w:val="20"/>
          <w:color w:val="auto"/>
        </w:rPr>
      </w:pPr>
    </w:p>
    <w:p>
      <w:pPr>
        <w:ind w:left="1400" w:right="519" w:firstLine="339"/>
        <w:spacing w:after="0" w:line="264" w:lineRule="auto"/>
        <w:rPr>
          <w:sz w:val="20"/>
          <w:szCs w:val="20"/>
          <w:color w:val="auto"/>
        </w:rPr>
      </w:pPr>
      <w:r>
        <w:rPr>
          <w:rFonts w:ascii="Times New Roman" w:cs="Times New Roman" w:eastAsia="Times New Roman" w:hAnsi="Times New Roman"/>
          <w:sz w:val="14"/>
          <w:szCs w:val="14"/>
          <w:b w:val="1"/>
          <w:bCs w:val="1"/>
          <w:color w:val="auto"/>
        </w:rPr>
        <w:t>If you are considering the purchase of our Class A common stock, you should consult your own tax advisors concerning the particular U.S. federal income tax consequences to you of the purchase, ownership and disposition of our Class A common stock, as well as the consequences to you arising under other U.S. federal tax laws and the laws of any other taxing jurisdiction.</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59</w:t>
      </w:r>
    </w:p>
    <w:p>
      <w:pPr>
        <w:sectPr>
          <w:pgSz w:w="11900" w:h="16838" w:orient="portrait"/>
          <w:cols w:equalWidth="0" w:num="1">
            <w:col w:w="10159"/>
          </w:cols>
          <w:pgMar w:left="300" w:top="383" w:right="144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91" w:lineRule="exact"/>
        <w:rPr>
          <w:sz w:val="20"/>
          <w:szCs w:val="20"/>
          <w:color w:val="auto"/>
        </w:rPr>
      </w:pPr>
    </w:p>
    <w:p>
      <w:pPr>
        <w:ind w:left="1400" w:right="279" w:firstLine="339"/>
        <w:spacing w:after="0" w:line="253" w:lineRule="auto"/>
        <w:rPr>
          <w:sz w:val="20"/>
          <w:szCs w:val="20"/>
          <w:color w:val="auto"/>
        </w:rPr>
      </w:pPr>
      <w:r>
        <w:rPr>
          <w:rFonts w:ascii="Times New Roman" w:cs="Times New Roman" w:eastAsia="Times New Roman" w:hAnsi="Times New Roman"/>
          <w:sz w:val="14"/>
          <w:szCs w:val="14"/>
          <w:color w:val="auto"/>
        </w:rPr>
        <w:t>In the event that we make a distribution of cash or other property (other than certain pro rata distributions of our Class A common stock) in respect of shares of our Class A common stock, the distribution generally will be treated as a dividend for U.S. federal income tax purposes to the extent it is paid from our current or accumulated earnings and profits, as determined under U.S. federal income tax principles. Any portion of a distribution that exceeds our current and accumulated earnings and profits generally will be treated first as a tax-free return of capital, causing a reduction in the adjusted tax basis of a non-U.S. holder’s Class A common stock, and to the extent the amount of the distribution exceeds a non-U.S. holder’s adjusted tax basis in shares of our Class A common stock, the excess will be treated as a capital gain from the disposition of shares of our Class A common stock (the tax treatment of which is discussed below under “—Gain on Disposition of Class A Common Stock”).</w:t>
      </w:r>
    </w:p>
    <w:p>
      <w:pPr>
        <w:spacing w:after="0" w:line="143" w:lineRule="exact"/>
        <w:rPr>
          <w:sz w:val="20"/>
          <w:szCs w:val="20"/>
          <w:color w:val="auto"/>
        </w:rPr>
      </w:pPr>
    </w:p>
    <w:p>
      <w:pPr>
        <w:ind w:left="1400" w:right="299" w:firstLine="339"/>
        <w:spacing w:after="0" w:line="253" w:lineRule="auto"/>
        <w:rPr>
          <w:sz w:val="20"/>
          <w:szCs w:val="20"/>
          <w:color w:val="auto"/>
        </w:rPr>
      </w:pPr>
      <w:r>
        <w:rPr>
          <w:rFonts w:ascii="Times New Roman" w:cs="Times New Roman" w:eastAsia="Times New Roman" w:hAnsi="Times New Roman"/>
          <w:sz w:val="14"/>
          <w:szCs w:val="14"/>
          <w:color w:val="auto"/>
        </w:rPr>
        <w:t>Dividends paid to a non-U.S. holder generally will be subject to withholding of U.S. federal income tax at a 30% rate or such lower rate as may be specified by an applicable income tax treaty. However, dividends that are effectively connected with the conduct of a trade or business by the non-U.S. holder within the United States (and, if required by an applicable income tax treaty, are attributable to a U.S. permanent establishment) are not subject to the withholding tax, provided certain certification and disclosure requirements are satisfied. Instead, such dividends are subject to U.S. federal income tax on a net income basis generally in the same manner as if the non-U.S. holder were a U.S. person as defined under the Code. Any such effectively connected dividends received by a foreign corporation may be subject to an additional “branch profits tax” at a 30% rate or such lower rate as may be specified by an applicable income tax treaty.</w:t>
      </w:r>
    </w:p>
    <w:p>
      <w:pPr>
        <w:spacing w:after="0" w:line="143" w:lineRule="exact"/>
        <w:rPr>
          <w:sz w:val="20"/>
          <w:szCs w:val="20"/>
          <w:color w:val="auto"/>
        </w:rPr>
      </w:pPr>
    </w:p>
    <w:p>
      <w:pPr>
        <w:ind w:left="1400" w:right="419" w:firstLine="339"/>
        <w:spacing w:after="0" w:line="254" w:lineRule="auto"/>
        <w:rPr>
          <w:sz w:val="20"/>
          <w:szCs w:val="20"/>
          <w:color w:val="auto"/>
        </w:rPr>
      </w:pPr>
      <w:r>
        <w:rPr>
          <w:rFonts w:ascii="Times New Roman" w:cs="Times New Roman" w:eastAsia="Times New Roman" w:hAnsi="Times New Roman"/>
          <w:sz w:val="14"/>
          <w:szCs w:val="14"/>
          <w:color w:val="auto"/>
        </w:rPr>
        <w:t>A non-U.S. holder who wishes to claim the benefit of an applicable treaty rate and avoid backup withholding, as discussed below, for dividends will be required (a) to provide the applicable withholding agent with a properly executed IRS Form W-8BEN or Form W-8BEN-E (or other applicable form) certifying under penalty of perjury that such holder is not a U.S. person as defined under the Code and is eligible for treaty benefits or (b) if our Class A common stock is held through certain foreign intermediaries, to satisfy the relevant certification requirements of applicable U.S. Treasury regulations. Special certification and other requirements apply to certain non-U.S. holders that are pass-through entities rather than corporations or individuals.</w:t>
      </w:r>
    </w:p>
    <w:p>
      <w:pPr>
        <w:spacing w:after="0" w:line="142" w:lineRule="exact"/>
        <w:rPr>
          <w:sz w:val="20"/>
          <w:szCs w:val="20"/>
          <w:color w:val="auto"/>
        </w:rPr>
      </w:pPr>
    </w:p>
    <w:p>
      <w:pPr>
        <w:ind w:left="1400" w:right="439" w:firstLine="339"/>
        <w:spacing w:after="0" w:line="263" w:lineRule="auto"/>
        <w:rPr>
          <w:sz w:val="20"/>
          <w:szCs w:val="20"/>
          <w:color w:val="auto"/>
        </w:rPr>
      </w:pPr>
      <w:r>
        <w:rPr>
          <w:rFonts w:ascii="Times New Roman" w:cs="Times New Roman" w:eastAsia="Times New Roman" w:hAnsi="Times New Roman"/>
          <w:sz w:val="14"/>
          <w:szCs w:val="14"/>
          <w:color w:val="auto"/>
        </w:rPr>
        <w:t>A non-U.S. holder eligible for a reduced rate of U.S. federal withholding tax pursuant to an income tax treaty may obtain a refund of any excess amounts withheld by timely filing an appropriate claim for refund with the IRS. Non-U.S. holders should consult their tax advisors regarding their entitlement to benefits under any applicable income tax treaty.</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Gain on Disposition of Class A Common Stock</w:t>
      </w:r>
    </w:p>
    <w:p>
      <w:pPr>
        <w:spacing w:after="0" w:line="91" w:lineRule="exact"/>
        <w:rPr>
          <w:sz w:val="20"/>
          <w:szCs w:val="20"/>
          <w:color w:val="auto"/>
        </w:rPr>
      </w:pPr>
    </w:p>
    <w:p>
      <w:pPr>
        <w:ind w:left="1400" w:right="619" w:firstLine="339"/>
        <w:spacing w:after="0" w:line="278" w:lineRule="auto"/>
        <w:rPr>
          <w:sz w:val="20"/>
          <w:szCs w:val="20"/>
          <w:color w:val="auto"/>
        </w:rPr>
      </w:pPr>
      <w:r>
        <w:rPr>
          <w:rFonts w:ascii="Times New Roman" w:cs="Times New Roman" w:eastAsia="Times New Roman" w:hAnsi="Times New Roman"/>
          <w:sz w:val="14"/>
          <w:szCs w:val="14"/>
          <w:color w:val="auto"/>
        </w:rPr>
        <w:t>Subject to the discussion of backup withholding below, any gain realized by a non-U.S. holder on the sale or other disposition of our Class A common stock generally will not be subject to U.S. federal income tax unless:</w:t>
      </w:r>
    </w:p>
    <w:p>
      <w:pPr>
        <w:spacing w:after="0" w:line="53" w:lineRule="exact"/>
        <w:rPr>
          <w:sz w:val="20"/>
          <w:szCs w:val="20"/>
          <w:color w:val="auto"/>
        </w:rPr>
      </w:pPr>
    </w:p>
    <w:p>
      <w:pPr>
        <w:ind w:left="2160" w:right="599" w:hanging="342"/>
        <w:spacing w:after="0" w:line="278" w:lineRule="auto"/>
        <w:tabs>
          <w:tab w:leader="none" w:pos="21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gain is effectively connected with a trade or business of the non-U.S. holder in the United States (and, if required by an applicable income tax treaty, is attributable to a U.S. permanent establishment of the non-U.S. holder);</w:t>
      </w:r>
    </w:p>
    <w:p>
      <w:pPr>
        <w:spacing w:after="0" w:line="53" w:lineRule="exact"/>
        <w:rPr>
          <w:rFonts w:ascii="Times New Roman" w:cs="Times New Roman" w:eastAsia="Times New Roman" w:hAnsi="Times New Roman"/>
          <w:sz w:val="14"/>
          <w:szCs w:val="14"/>
          <w:color w:val="auto"/>
        </w:rPr>
      </w:pPr>
    </w:p>
    <w:p>
      <w:pPr>
        <w:ind w:left="2160" w:right="519" w:hanging="342"/>
        <w:spacing w:after="0" w:line="278" w:lineRule="auto"/>
        <w:tabs>
          <w:tab w:leader="none" w:pos="21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non-U.S. holder is an individual who is present in the United States for 183 days or more in the taxable year of that disposition, and certain other conditions are met; or</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or have been a “U.S. real property holding corporation” for U.S. federal income tax purposes and certain other conditions are met.</w:t>
      </w:r>
    </w:p>
    <w:p>
      <w:pPr>
        <w:spacing w:after="0" w:line="172" w:lineRule="exact"/>
        <w:rPr>
          <w:sz w:val="20"/>
          <w:szCs w:val="20"/>
          <w:color w:val="auto"/>
        </w:rPr>
      </w:pPr>
    </w:p>
    <w:p>
      <w:pPr>
        <w:ind w:left="1400" w:right="299" w:firstLine="339"/>
        <w:spacing w:after="0" w:line="258" w:lineRule="auto"/>
        <w:rPr>
          <w:sz w:val="20"/>
          <w:szCs w:val="20"/>
          <w:color w:val="auto"/>
        </w:rPr>
      </w:pPr>
      <w:r>
        <w:rPr>
          <w:rFonts w:ascii="Times New Roman" w:cs="Times New Roman" w:eastAsia="Times New Roman" w:hAnsi="Times New Roman"/>
          <w:sz w:val="14"/>
          <w:szCs w:val="14"/>
          <w:color w:val="auto"/>
        </w:rPr>
        <w:t>A non-U.S. holder described in the first bullet point immediately above will be subject to tax on the gain derived from the sale or other disposition in the same manner as if the non-U.S. holder were a U.S. person as defined under the Code. In addition, if any non-U.S. holder described in the first bullet point immediately above is a foreign corporation, the gain realized by such non-U.S. holder may be subject to an additional “branch profits tax” at a 30% rate or such lower rate as may be specified by an applicable income tax treaty. An individual</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60</w:t>
      </w:r>
    </w:p>
    <w:p>
      <w:pPr>
        <w:sectPr>
          <w:pgSz w:w="11900" w:h="16838" w:orient="portrait"/>
          <w:cols w:equalWidth="0" w:num="1">
            <w:col w:w="10159"/>
          </w:cols>
          <w:pgMar w:left="300" w:top="383" w:right="1440"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579"/>
        <w:spacing w:after="0" w:line="263" w:lineRule="auto"/>
        <w:rPr>
          <w:sz w:val="20"/>
          <w:szCs w:val="20"/>
          <w:color w:val="auto"/>
        </w:rPr>
      </w:pPr>
      <w:r>
        <w:rPr>
          <w:rFonts w:ascii="Times New Roman" w:cs="Times New Roman" w:eastAsia="Times New Roman" w:hAnsi="Times New Roman"/>
          <w:sz w:val="14"/>
          <w:szCs w:val="14"/>
          <w:color w:val="auto"/>
        </w:rPr>
        <w:t>non-U.S. holder described in the second bullet point immediately above will be subject to a 30% (or such lower rate as may be specified by an applicable income tax treaty) tax on the gain derived from the sale or other disposition, which gain may be offset by U.S. source capital losses even though the individual is not considered a resident of the United States.</w:t>
      </w:r>
    </w:p>
    <w:p>
      <w:pPr>
        <w:spacing w:after="0" w:line="136" w:lineRule="exact"/>
        <w:rPr>
          <w:sz w:val="20"/>
          <w:szCs w:val="20"/>
          <w:color w:val="auto"/>
        </w:rPr>
      </w:pPr>
    </w:p>
    <w:p>
      <w:pPr>
        <w:ind w:left="1400" w:right="379" w:firstLine="339"/>
        <w:spacing w:after="0" w:line="258" w:lineRule="auto"/>
        <w:rPr>
          <w:sz w:val="20"/>
          <w:szCs w:val="20"/>
          <w:color w:val="auto"/>
        </w:rPr>
      </w:pPr>
      <w:r>
        <w:rPr>
          <w:rFonts w:ascii="Times New Roman" w:cs="Times New Roman" w:eastAsia="Times New Roman" w:hAnsi="Times New Roman"/>
          <w:sz w:val="14"/>
          <w:szCs w:val="14"/>
          <w:color w:val="auto"/>
        </w:rPr>
        <w:t>Generally, a corporation is a “U.S. real property holding corporation” if the fair market value of its U.S. real property interests equals or exceeds 50% of the sum of the fair market value of its worldwide real property interests and its other assets used or held for use in a trade or business (all as determined for U.S. federal income tax purposes). We believe we are not and do not anticipate becoming a “U.S. real property holding corporation” for U.S. federal income tax purposes.</w:t>
      </w:r>
    </w:p>
    <w:p>
      <w:pPr>
        <w:spacing w:after="0" w:line="2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Information Reporting and Backup Withholding</w:t>
      </w:r>
    </w:p>
    <w:p>
      <w:pPr>
        <w:spacing w:after="0" w:line="91" w:lineRule="exact"/>
        <w:rPr>
          <w:sz w:val="20"/>
          <w:szCs w:val="20"/>
          <w:color w:val="auto"/>
        </w:rPr>
      </w:pPr>
    </w:p>
    <w:p>
      <w:pPr>
        <w:ind w:left="1400" w:right="299" w:firstLine="339"/>
        <w:spacing w:after="0" w:line="263" w:lineRule="auto"/>
        <w:rPr>
          <w:sz w:val="20"/>
          <w:szCs w:val="20"/>
          <w:color w:val="auto"/>
        </w:rPr>
      </w:pPr>
      <w:r>
        <w:rPr>
          <w:rFonts w:ascii="Times New Roman" w:cs="Times New Roman" w:eastAsia="Times New Roman" w:hAnsi="Times New Roman"/>
          <w:sz w:val="14"/>
          <w:szCs w:val="14"/>
          <w:color w:val="auto"/>
        </w:rPr>
        <w:t>Distributions paid to a non-U.S. holder and the amount of any tax withheld with respect to such distributions generally will be reported to the IRS. Copies of the information returns reporting such distributions and any withholding may also be made available to the tax authorities in the country in which the non-U.S. holder resides under the provisions of an applicable income tax treaty.</w:t>
      </w:r>
    </w:p>
    <w:p>
      <w:pPr>
        <w:spacing w:after="0" w:line="136" w:lineRule="exact"/>
        <w:rPr>
          <w:sz w:val="20"/>
          <w:szCs w:val="20"/>
          <w:color w:val="auto"/>
        </w:rPr>
      </w:pPr>
    </w:p>
    <w:p>
      <w:pPr>
        <w:jc w:val="both"/>
        <w:ind w:left="1400" w:right="399" w:firstLine="339"/>
        <w:spacing w:after="0" w:line="263" w:lineRule="auto"/>
        <w:rPr>
          <w:sz w:val="20"/>
          <w:szCs w:val="20"/>
          <w:color w:val="auto"/>
        </w:rPr>
      </w:pPr>
      <w:r>
        <w:rPr>
          <w:rFonts w:ascii="Times New Roman" w:cs="Times New Roman" w:eastAsia="Times New Roman" w:hAnsi="Times New Roman"/>
          <w:sz w:val="14"/>
          <w:szCs w:val="14"/>
          <w:color w:val="auto"/>
        </w:rPr>
        <w:t>A non-U.S. holder will not be subject to backup withholding on distributions received if such holder certifies under penalty of perjury that it is a non-U.S. holder (and the payor does not have actual knowledge or reason to know that such holder is a U.S. person as defined under the Code) such as by furnishing a valid IRS Form W-8BEN, W-8BEN-E, or W-8ECI, or such holder otherwise establishes an exemption.</w:t>
      </w:r>
    </w:p>
    <w:p>
      <w:pPr>
        <w:spacing w:after="0" w:line="136" w:lineRule="exact"/>
        <w:rPr>
          <w:sz w:val="20"/>
          <w:szCs w:val="20"/>
          <w:color w:val="auto"/>
        </w:rPr>
      </w:pPr>
    </w:p>
    <w:p>
      <w:pPr>
        <w:ind w:left="1400" w:right="339" w:firstLine="339"/>
        <w:spacing w:after="0" w:line="258" w:lineRule="auto"/>
        <w:rPr>
          <w:sz w:val="20"/>
          <w:szCs w:val="20"/>
          <w:color w:val="auto"/>
        </w:rPr>
      </w:pPr>
      <w:r>
        <w:rPr>
          <w:rFonts w:ascii="Times New Roman" w:cs="Times New Roman" w:eastAsia="Times New Roman" w:hAnsi="Times New Roman"/>
          <w:sz w:val="14"/>
          <w:szCs w:val="14"/>
          <w:color w:val="auto"/>
        </w:rPr>
        <w:t>Information reporting and, depending on the circumstances, backup withholding will apply to the proceeds of a sale or other disposition of our Class A common stock within the United States or conducted through certain U.S.-related financial intermediaries, unless the beneficial owner certifies under penalty of perjury that it is a non-U.S. holder (and the payor does not have actual knowledge or reason to know that the beneficial owner is a U.S. person as defined under the Code), or such owner otherwise establishes an exemption.</w:t>
      </w:r>
    </w:p>
    <w:p>
      <w:pPr>
        <w:spacing w:after="0" w:line="140" w:lineRule="exact"/>
        <w:rPr>
          <w:sz w:val="20"/>
          <w:szCs w:val="20"/>
          <w:color w:val="auto"/>
        </w:rPr>
      </w:pPr>
    </w:p>
    <w:p>
      <w:pPr>
        <w:ind w:left="1400" w:right="379" w:firstLine="339"/>
        <w:spacing w:after="0" w:line="278" w:lineRule="auto"/>
        <w:rPr>
          <w:sz w:val="20"/>
          <w:szCs w:val="20"/>
          <w:color w:val="auto"/>
        </w:rPr>
      </w:pPr>
      <w:r>
        <w:rPr>
          <w:rFonts w:ascii="Times New Roman" w:cs="Times New Roman" w:eastAsia="Times New Roman" w:hAnsi="Times New Roman"/>
          <w:sz w:val="14"/>
          <w:szCs w:val="14"/>
          <w:color w:val="auto"/>
        </w:rPr>
        <w:t>Backup withholding is not an additional tax and any amounts withheld under the backup withholding rules will be allowed as a refund or a credit against a non-U.S. holder’s U.S. federal income tax liability provided the required information is timely furnished to the IRS.</w:t>
      </w:r>
    </w:p>
    <w:p>
      <w:pPr>
        <w:spacing w:after="0" w:line="20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Additional Withholding Requirements</w:t>
      </w:r>
    </w:p>
    <w:p>
      <w:pPr>
        <w:spacing w:after="0" w:line="91" w:lineRule="exact"/>
        <w:rPr>
          <w:sz w:val="20"/>
          <w:szCs w:val="20"/>
          <w:color w:val="auto"/>
        </w:rPr>
      </w:pPr>
    </w:p>
    <w:p>
      <w:pPr>
        <w:ind w:left="1400" w:right="279" w:firstLine="339"/>
        <w:spacing w:after="0" w:line="250" w:lineRule="auto"/>
        <w:rPr>
          <w:sz w:val="20"/>
          <w:szCs w:val="20"/>
          <w:color w:val="auto"/>
        </w:rPr>
      </w:pPr>
      <w:r>
        <w:rPr>
          <w:rFonts w:ascii="Times New Roman" w:cs="Times New Roman" w:eastAsia="Times New Roman" w:hAnsi="Times New Roman"/>
          <w:sz w:val="14"/>
          <w:szCs w:val="14"/>
          <w:color w:val="auto"/>
        </w:rPr>
        <w:t>Under Sections 1471 through 1474 of the Code (such Sections commonly referred to as “FATCA”), a 30% U.S. federal withholding tax may apply to any dividends paid on our common stock to (i) a “foreign financial institution” (as specifically defined in the Code and whether such foreign financial institution is the beneficial owner or an intermediary) which does not provide sufficient documentation, typically on IRS Form W-8BEN-E, evidencing either (x) an exemption from FATCA, or (y) its compliance (or deemed compliance) with FATCA (which may alternatively be in the form of compliance with an intergovernmental agreement with the United States) in a manner which avoids withholding, or (ii) a “non-financial foreign entity” (as specifically defined in the Code and whether such non-financial foreign entity is the beneficial owner or an intermediary) which does not provide sufficient documentation, typically on IRS Form W-8BEN-E, evidencing either (x) an exemption from FATCA, or (y) adequate information regarding certain substantial United States beneficial owners of such entity (if any). If a dividend payment is both subject to withholding under FATCA and subject to the withholding tax discussed above under “—Dividends,” an applicable withholding agent may credit the withholding under FATCA against, and therefore reduce, such other withholding tax. While withholding under FATCA would also have applied to payments of gross proceeds from the sale or other taxable disposition of our common stock, proposed United States Treasury regulations (upon which taxpayers may rely until final regulations are issued) eliminate FATCA withholding on payments of gross proceeds entirely. You should consult your own tax advisors regarding these requirements and whether they may be relevant to your ownership and disposition of our common stock.</w:t>
      </w:r>
    </w:p>
    <w:p>
      <w:pPr>
        <w:spacing w:after="0" w:line="9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61</w:t>
      </w:r>
    </w:p>
    <w:p>
      <w:pPr>
        <w:sectPr>
          <w:pgSz w:w="11900" w:h="16838" w:orient="portrait"/>
          <w:cols w:equalWidth="0" w:num="1">
            <w:col w:w="10159"/>
          </w:cols>
          <w:pgMar w:left="300" w:top="383" w:right="1440"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UNDERWRITING (CONFLICTS OF INTEREST)</w:t>
      </w:r>
    </w:p>
    <w:p>
      <w:pPr>
        <w:spacing w:after="0" w:line="91" w:lineRule="exact"/>
        <w:rPr>
          <w:sz w:val="20"/>
          <w:szCs w:val="20"/>
          <w:color w:val="auto"/>
        </w:rPr>
      </w:pPr>
    </w:p>
    <w:p>
      <w:pPr>
        <w:ind w:left="1400" w:right="359" w:firstLine="339"/>
        <w:spacing w:after="0" w:line="258" w:lineRule="auto"/>
        <w:rPr>
          <w:sz w:val="20"/>
          <w:szCs w:val="20"/>
          <w:color w:val="auto"/>
        </w:rPr>
      </w:pPr>
      <w:r>
        <w:rPr>
          <w:rFonts w:ascii="Times New Roman" w:cs="Times New Roman" w:eastAsia="Times New Roman" w:hAnsi="Times New Roman"/>
          <w:sz w:val="14"/>
          <w:szCs w:val="14"/>
          <w:color w:val="auto"/>
        </w:rPr>
        <w:t>We, the selling stockholders, and the underwriters named below will enter into an underwriting agreement with respect to the shares of Class A common stock being offered. Subject to certain conditions, each underwriter has severally agreed to purchase the number of shares of Class A common stock indicated in the following table. Goldman Sachs &amp; Co. LLC, Morgan Stanley &amp; Co. LLC, BofA Securities, Inc., and J.P. Morgan Securities LLC are the representatives of the underwriters.</w:t>
      </w:r>
    </w:p>
    <w:p>
      <w:pPr>
        <w:spacing w:after="0" w:line="144" w:lineRule="exact"/>
        <w:rPr>
          <w:sz w:val="20"/>
          <w:szCs w:val="20"/>
          <w:color w:val="auto"/>
        </w:rPr>
      </w:pPr>
    </w:p>
    <w:tbl>
      <w:tblPr>
        <w:tblLayout w:type="fixed"/>
        <w:tblInd w:w="1400" w:type="dxa"/>
        <w:tblCellMar>
          <w:top w:w="0" w:type="dxa"/>
          <w:left w:w="0" w:type="dxa"/>
          <w:bottom w:w="0" w:type="dxa"/>
          <w:right w:w="0" w:type="dxa"/>
        </w:tblCellMar>
      </w:tblPr>
      <w:tr>
        <w:trPr>
          <w:trHeight w:val="126"/>
        </w:trPr>
        <w:tc>
          <w:tcPr>
            <w:tcW w:w="6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Underwriters</w:t>
            </w:r>
          </w:p>
        </w:tc>
        <w:tc>
          <w:tcPr>
            <w:tcW w:w="3980" w:type="dxa"/>
            <w:vAlign w:val="bottom"/>
            <w:vMerge w:val="restart"/>
          </w:tcPr>
          <w:p>
            <w:pPr>
              <w:spacing w:after="0"/>
              <w:rPr>
                <w:sz w:val="11"/>
                <w:szCs w:val="11"/>
                <w:color w:val="auto"/>
              </w:rPr>
            </w:pPr>
          </w:p>
        </w:tc>
        <w:tc>
          <w:tcPr>
            <w:tcW w:w="2700" w:type="dxa"/>
            <w:vAlign w:val="bottom"/>
          </w:tcPr>
          <w:p>
            <w:pPr>
              <w:spacing w:after="0"/>
              <w:rPr>
                <w:sz w:val="11"/>
                <w:szCs w:val="11"/>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Number of Shares of</w:t>
            </w:r>
          </w:p>
        </w:tc>
        <w:tc>
          <w:tcPr>
            <w:tcW w:w="0" w:type="dxa"/>
            <w:vAlign w:val="bottom"/>
          </w:tcPr>
          <w:p>
            <w:pPr>
              <w:spacing w:after="0"/>
              <w:rPr>
                <w:sz w:val="1"/>
                <w:szCs w:val="1"/>
                <w:color w:val="auto"/>
              </w:rPr>
            </w:pPr>
          </w:p>
        </w:tc>
      </w:tr>
      <w:tr>
        <w:trPr>
          <w:trHeight w:val="143"/>
        </w:trPr>
        <w:tc>
          <w:tcPr>
            <w:tcW w:w="660" w:type="dxa"/>
            <w:vAlign w:val="bottom"/>
            <w:tcBorders>
              <w:bottom w:val="single" w:sz="8" w:color="auto"/>
            </w:tcBorders>
            <w:vMerge w:val="continue"/>
          </w:tcPr>
          <w:p>
            <w:pPr>
              <w:spacing w:after="0"/>
              <w:rPr>
                <w:sz w:val="12"/>
                <w:szCs w:val="12"/>
                <w:color w:val="auto"/>
              </w:rPr>
            </w:pPr>
          </w:p>
        </w:tc>
        <w:tc>
          <w:tcPr>
            <w:tcW w:w="3980" w:type="dxa"/>
            <w:vAlign w:val="bottom"/>
            <w:vMerge w:val="continue"/>
          </w:tcPr>
          <w:p>
            <w:pPr>
              <w:spacing w:after="0"/>
              <w:rPr>
                <w:sz w:val="12"/>
                <w:szCs w:val="12"/>
                <w:color w:val="auto"/>
              </w:rPr>
            </w:pPr>
          </w:p>
        </w:tc>
        <w:tc>
          <w:tcPr>
            <w:tcW w:w="3860" w:type="dxa"/>
            <w:vAlign w:val="bottom"/>
            <w:gridSpan w:val="3"/>
          </w:tcPr>
          <w:p>
            <w:pPr>
              <w:jc w:val="right"/>
              <w:ind w:right="60"/>
              <w:spacing w:after="0" w:line="123" w:lineRule="exact"/>
              <w:rPr>
                <w:sz w:val="20"/>
                <w:szCs w:val="20"/>
                <w:color w:val="auto"/>
              </w:rPr>
            </w:pPr>
            <w:r>
              <w:rPr>
                <w:rFonts w:ascii="Times New Roman" w:cs="Times New Roman" w:eastAsia="Times New Roman" w:hAnsi="Times New Roman"/>
                <w:sz w:val="11"/>
                <w:szCs w:val="11"/>
                <w:b w:val="1"/>
                <w:bCs w:val="1"/>
                <w:color w:val="auto"/>
              </w:rPr>
              <w:t>Class A Common Stock</w:t>
            </w:r>
          </w:p>
        </w:tc>
        <w:tc>
          <w:tcPr>
            <w:tcW w:w="0" w:type="dxa"/>
            <w:vAlign w:val="bottom"/>
          </w:tcPr>
          <w:p>
            <w:pPr>
              <w:spacing w:after="0"/>
              <w:rPr>
                <w:sz w:val="1"/>
                <w:szCs w:val="1"/>
                <w:color w:val="auto"/>
              </w:rPr>
            </w:pPr>
          </w:p>
        </w:tc>
      </w:tr>
      <w:tr>
        <w:trPr>
          <w:trHeight w:val="137"/>
        </w:trPr>
        <w:tc>
          <w:tcPr>
            <w:tcW w:w="4640" w:type="dxa"/>
            <w:vAlign w:val="bottom"/>
            <w:tcBorders>
              <w:top w:val="single" w:sz="8" w:color="CCEEFF"/>
            </w:tcBorders>
            <w:gridSpan w:val="2"/>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auto"/>
              </w:rPr>
              <w:t>Goldman Sachs &amp; Co. LLC</w:t>
            </w:r>
          </w:p>
        </w:tc>
        <w:tc>
          <w:tcPr>
            <w:tcW w:w="2700" w:type="dxa"/>
            <w:vAlign w:val="bottom"/>
            <w:tcBorders>
              <w:top w:val="single" w:sz="8" w:color="CCEEFF"/>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4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Morgan Stanley &amp; Co. LLC</w:t>
            </w:r>
          </w:p>
        </w:tc>
        <w:tc>
          <w:tcPr>
            <w:tcW w:w="2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BofA Securities, Inc.</w:t>
            </w:r>
          </w:p>
        </w:tc>
        <w:tc>
          <w:tcPr>
            <w:tcW w:w="27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J.P. Morgan Securities LLC</w:t>
            </w:r>
          </w:p>
        </w:tc>
        <w:tc>
          <w:tcPr>
            <w:tcW w:w="2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Blackstone Securities Partners L.P.</w:t>
            </w:r>
          </w:p>
        </w:tc>
        <w:tc>
          <w:tcPr>
            <w:tcW w:w="2700" w:type="dxa"/>
            <w:vAlign w:val="bottom"/>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2700" w:type="dxa"/>
            <w:vAlign w:val="bottom"/>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60,000,000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1400" w:right="499" w:firstLine="339"/>
        <w:spacing w:after="0" w:line="278" w:lineRule="auto"/>
        <w:rPr>
          <w:sz w:val="20"/>
          <w:szCs w:val="20"/>
          <w:color w:val="auto"/>
        </w:rPr>
      </w:pPr>
      <w:r>
        <w:rPr>
          <w:rFonts w:ascii="Times New Roman" w:cs="Times New Roman" w:eastAsia="Times New Roman" w:hAnsi="Times New Roman"/>
          <w:sz w:val="14"/>
          <w:szCs w:val="14"/>
          <w:color w:val="auto"/>
        </w:rPr>
        <w:t>The underwriters are committed to take and pay for all of the shares being offered, if any are taken, other than the shares covered by the option described below unless and until this option is exercised.</w:t>
      </w:r>
    </w:p>
    <w:p>
      <w:pPr>
        <w:spacing w:after="0" w:line="126" w:lineRule="exact"/>
        <w:rPr>
          <w:sz w:val="20"/>
          <w:szCs w:val="20"/>
          <w:color w:val="auto"/>
        </w:rPr>
      </w:pPr>
    </w:p>
    <w:p>
      <w:pPr>
        <w:ind w:left="1400" w:right="299" w:firstLine="339"/>
        <w:spacing w:after="0" w:line="258" w:lineRule="auto"/>
        <w:rPr>
          <w:sz w:val="20"/>
          <w:szCs w:val="20"/>
          <w:color w:val="auto"/>
        </w:rPr>
      </w:pPr>
      <w:r>
        <w:rPr>
          <w:rFonts w:ascii="Times New Roman" w:cs="Times New Roman" w:eastAsia="Times New Roman" w:hAnsi="Times New Roman"/>
          <w:sz w:val="14"/>
          <w:szCs w:val="14"/>
          <w:color w:val="auto"/>
        </w:rPr>
        <w:t>The underwriters have an option to purchase up to an additional 9,000,000 shares from the selling stockholders at the public offering price less the underwriting discount. They may exercise that option for 30 days. If any shares are purchased pursuant to this option, the underwriters will severally purchase shares in approximately the same proportion as set forth in the table above. The underwriters do not expect sales to discretionary accounts to exceed five percent of the total number of shares of Class A common stock offered.</w:t>
      </w:r>
    </w:p>
    <w:p>
      <w:pPr>
        <w:spacing w:after="0" w:line="140" w:lineRule="exact"/>
        <w:rPr>
          <w:sz w:val="20"/>
          <w:szCs w:val="20"/>
          <w:color w:val="auto"/>
        </w:rPr>
      </w:pPr>
    </w:p>
    <w:p>
      <w:pPr>
        <w:ind w:left="1400" w:right="359" w:firstLine="339"/>
        <w:spacing w:after="0" w:line="318" w:lineRule="auto"/>
        <w:rPr>
          <w:sz w:val="20"/>
          <w:szCs w:val="20"/>
          <w:color w:val="auto"/>
        </w:rPr>
      </w:pPr>
      <w:r>
        <w:rPr>
          <w:rFonts w:ascii="Times New Roman" w:cs="Times New Roman" w:eastAsia="Times New Roman" w:hAnsi="Times New Roman"/>
          <w:sz w:val="13"/>
          <w:szCs w:val="13"/>
          <w:color w:val="auto"/>
        </w:rPr>
        <w:t>The following table shows the per share and total underwriting discounts and commissions to be paid to the underwriters by the selling stockholders. Such amounts are shown assuming both no exercise and full exercise of the underwriters’ option to purchase 9,000,000 additional shares.</w:t>
      </w:r>
    </w:p>
    <w:p>
      <w:pPr>
        <w:spacing w:after="0" w:line="119" w:lineRule="exact"/>
        <w:rPr>
          <w:sz w:val="20"/>
          <w:szCs w:val="20"/>
          <w:color w:val="auto"/>
        </w:rPr>
      </w:pPr>
    </w:p>
    <w:tbl>
      <w:tblPr>
        <w:tblLayout w:type="fixed"/>
        <w:tblInd w:w="2420" w:type="dxa"/>
        <w:tblCellMar>
          <w:top w:w="0" w:type="dxa"/>
          <w:left w:w="0" w:type="dxa"/>
          <w:bottom w:w="0" w:type="dxa"/>
          <w:right w:w="0" w:type="dxa"/>
        </w:tblCellMar>
      </w:tblPr>
      <w:tr>
        <w:trPr>
          <w:trHeight w:val="134"/>
        </w:trPr>
        <w:tc>
          <w:tcPr>
            <w:tcW w:w="2500" w:type="dxa"/>
            <w:vAlign w:val="bottom"/>
          </w:tcPr>
          <w:p>
            <w:pPr>
              <w:spacing w:after="0"/>
              <w:rPr>
                <w:sz w:val="11"/>
                <w:szCs w:val="11"/>
                <w:color w:val="auto"/>
              </w:rPr>
            </w:pP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No Exercise</w:t>
            </w:r>
          </w:p>
        </w:tc>
        <w:tc>
          <w:tcPr>
            <w:tcW w:w="1440" w:type="dxa"/>
            <w:vAlign w:val="bottom"/>
            <w:gridSpan w:val="2"/>
          </w:tcPr>
          <w:p>
            <w:pPr>
              <w:ind w:left="800"/>
              <w:spacing w:after="0"/>
              <w:rPr>
                <w:sz w:val="20"/>
                <w:szCs w:val="20"/>
                <w:color w:val="auto"/>
              </w:rPr>
            </w:pPr>
            <w:r>
              <w:rPr>
                <w:rFonts w:ascii="Times New Roman" w:cs="Times New Roman" w:eastAsia="Times New Roman" w:hAnsi="Times New Roman"/>
                <w:sz w:val="11"/>
                <w:szCs w:val="11"/>
                <w:b w:val="1"/>
                <w:bCs w:val="1"/>
                <w:color w:val="auto"/>
              </w:rPr>
              <w:t>Full Exercise</w:t>
            </w:r>
          </w:p>
        </w:tc>
      </w:tr>
      <w:tr>
        <w:trPr>
          <w:trHeight w:val="157"/>
        </w:trPr>
        <w:tc>
          <w:tcPr>
            <w:tcW w:w="250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Per Share</w:t>
            </w:r>
          </w:p>
        </w:tc>
        <w:tc>
          <w:tcPr>
            <w:tcW w:w="196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ind w:right="44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w:t>
            </w:r>
          </w:p>
        </w:tc>
      </w:tr>
      <w:tr>
        <w:trPr>
          <w:trHeight w:val="181"/>
        </w:trPr>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2520" w:type="dxa"/>
            <w:vAlign w:val="bottom"/>
            <w:gridSpan w:val="2"/>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r>
    </w:tbl>
    <w:p>
      <w:pPr>
        <w:spacing w:after="0" w:line="137" w:lineRule="exact"/>
        <w:rPr>
          <w:sz w:val="20"/>
          <w:szCs w:val="20"/>
          <w:color w:val="auto"/>
        </w:rPr>
      </w:pPr>
    </w:p>
    <w:p>
      <w:pPr>
        <w:ind w:left="1400" w:right="299" w:firstLine="339"/>
        <w:spacing w:after="0" w:line="258" w:lineRule="auto"/>
        <w:rPr>
          <w:sz w:val="20"/>
          <w:szCs w:val="20"/>
          <w:color w:val="auto"/>
        </w:rPr>
      </w:pPr>
      <w:r>
        <w:rPr>
          <w:rFonts w:ascii="Times New Roman" w:cs="Times New Roman" w:eastAsia="Times New Roman" w:hAnsi="Times New Roman"/>
          <w:sz w:val="14"/>
          <w:szCs w:val="14"/>
          <w:color w:val="auto"/>
        </w:rPr>
        <w:t>Shares of Class A common stock sold by the underwriters to the public will initially be offered at the public offering price set forth on the cover of this prospectus. Any shares sold by the underwriters to securities dealers may be sold at a discount of up to $        per share from the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40" w:lineRule="exact"/>
        <w:rPr>
          <w:sz w:val="20"/>
          <w:szCs w:val="20"/>
          <w:color w:val="auto"/>
        </w:rPr>
      </w:pPr>
    </w:p>
    <w:p>
      <w:pPr>
        <w:ind w:left="1400" w:right="339" w:firstLine="339"/>
        <w:spacing w:after="0" w:line="255" w:lineRule="auto"/>
        <w:rPr>
          <w:sz w:val="20"/>
          <w:szCs w:val="20"/>
          <w:color w:val="auto"/>
        </w:rPr>
      </w:pPr>
      <w:r>
        <w:rPr>
          <w:rFonts w:ascii="Times New Roman" w:cs="Times New Roman" w:eastAsia="Times New Roman" w:hAnsi="Times New Roman"/>
          <w:sz w:val="14"/>
          <w:szCs w:val="14"/>
          <w:color w:val="auto"/>
        </w:rPr>
        <w:t>In connection with our IPO, we and our officers and directors and our pre-IPO owners agreed with the underwriters, subject to certain exceptions, not to dispose of or hedge any shares of Class A common stock or securities convertible into or exchangeable for shares of Class A common stock during the period from the date of this prospectus continuing through the date 180 days after December 16, 2025, except with the prior written consent of either Goldman Sachs &amp; Co. LLC or Morgan Stanley &amp; Co. LLC, and one additional representative, on behalf of the underwriters, and the prior written notice to the other representatives.</w:t>
      </w:r>
    </w:p>
    <w:p>
      <w:pPr>
        <w:spacing w:after="0" w:line="143" w:lineRule="exact"/>
        <w:rPr>
          <w:sz w:val="20"/>
          <w:szCs w:val="20"/>
          <w:color w:val="auto"/>
        </w:rPr>
      </w:pPr>
    </w:p>
    <w:p>
      <w:pPr>
        <w:jc w:val="both"/>
        <w:ind w:left="1400" w:right="339" w:firstLine="339"/>
        <w:spacing w:after="0" w:line="258" w:lineRule="auto"/>
        <w:rPr>
          <w:sz w:val="20"/>
          <w:szCs w:val="20"/>
          <w:color w:val="auto"/>
        </w:rPr>
      </w:pPr>
      <w:r>
        <w:rPr>
          <w:rFonts w:ascii="Times New Roman" w:cs="Times New Roman" w:eastAsia="Times New Roman" w:hAnsi="Times New Roman"/>
          <w:sz w:val="14"/>
          <w:szCs w:val="14"/>
          <w:color w:val="auto"/>
        </w:rPr>
        <w:t>In connection with this offering, Goldman Sachs &amp; Co. LLC and Morgan Stanley &amp; Co. LLC have agreed to release, with respect to this offering, certain of the lock-up restrictions agreed to by each of the Company and the selling stockholders with respect to up to 69,000,000 shares of our Class A common stock (including the 9,000,000 additional shares of Class A common stock pursuant to the underwriters’ option to purchase additional shares) in this offering that are held by the selling stockholders, provided that the release of shares of the</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62</w:t>
      </w:r>
    </w:p>
    <w:p>
      <w:pPr>
        <w:sectPr>
          <w:pgSz w:w="11900" w:h="16838" w:orient="portrait"/>
          <w:cols w:equalWidth="0" w:num="1">
            <w:col w:w="10159"/>
          </w:cols>
          <w:pgMar w:left="300" w:top="383" w:right="1440"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759"/>
        <w:spacing w:after="0" w:line="278" w:lineRule="auto"/>
        <w:rPr>
          <w:sz w:val="20"/>
          <w:szCs w:val="20"/>
          <w:color w:val="auto"/>
        </w:rPr>
      </w:pPr>
      <w:r>
        <w:rPr>
          <w:rFonts w:ascii="Times New Roman" w:cs="Times New Roman" w:eastAsia="Times New Roman" w:hAnsi="Times New Roman"/>
          <w:sz w:val="14"/>
          <w:szCs w:val="14"/>
          <w:color w:val="auto"/>
        </w:rPr>
        <w:t>Company’s Class A common stock held by the selling stockholders is limited to the shares actually sold in this offering. The lock-up restrictions applicable to the IPO lock-up parties will otherwise continue through the date that is 180 days after December 16, 2025.</w:t>
      </w:r>
    </w:p>
    <w:p>
      <w:pPr>
        <w:spacing w:after="0" w:line="126" w:lineRule="exact"/>
        <w:rPr>
          <w:sz w:val="20"/>
          <w:szCs w:val="20"/>
          <w:color w:val="auto"/>
        </w:rPr>
      </w:pPr>
    </w:p>
    <w:p>
      <w:pPr>
        <w:ind w:left="1400" w:right="399" w:firstLine="339"/>
        <w:spacing w:after="0" w:line="255" w:lineRule="auto"/>
        <w:rPr>
          <w:sz w:val="20"/>
          <w:szCs w:val="20"/>
          <w:color w:val="auto"/>
        </w:rPr>
      </w:pPr>
      <w:r>
        <w:rPr>
          <w:rFonts w:ascii="Times New Roman" w:cs="Times New Roman" w:eastAsia="Times New Roman" w:hAnsi="Times New Roman"/>
          <w:sz w:val="14"/>
          <w:szCs w:val="14"/>
          <w:color w:val="auto"/>
        </w:rPr>
        <w:t>In connection with this offering, we, our officers and directors, our Principal Stockholders and our Other Pre-IPO Investors have agreed with the underwriters, subject to certain exceptions, not to dispose of or hedge any shares of Class A common stock or securities convertible into or exchangeable for shares of Class A common stock during the period from the date of this prospectus continuing through the date 75 days after the date of this prospectus, except with the prior written consent of either Goldman Sachs &amp; Co. LLC or Morgan Stanley &amp; Co. LLC, and one additional representative, on behalf of the underwriters, and the prior written notice to the other representatives.</w:t>
      </w:r>
    </w:p>
    <w:p>
      <w:pPr>
        <w:spacing w:after="0" w:line="143" w:lineRule="exact"/>
        <w:rPr>
          <w:sz w:val="20"/>
          <w:szCs w:val="20"/>
          <w:color w:val="auto"/>
        </w:rPr>
      </w:pPr>
    </w:p>
    <w:p>
      <w:pPr>
        <w:ind w:left="1400" w:right="779" w:firstLine="339"/>
        <w:spacing w:after="0" w:line="278" w:lineRule="auto"/>
        <w:rPr>
          <w:sz w:val="20"/>
          <w:szCs w:val="20"/>
          <w:color w:val="auto"/>
        </w:rPr>
      </w:pPr>
      <w:r>
        <w:rPr>
          <w:rFonts w:ascii="Times New Roman" w:cs="Times New Roman" w:eastAsia="Times New Roman" w:hAnsi="Times New Roman"/>
          <w:sz w:val="14"/>
          <w:szCs w:val="14"/>
          <w:color w:val="auto"/>
        </w:rPr>
        <w:t>The foregoing restrictions on our officers, directors, our Principal Stockholders, our Other Pre-IPO Investors and certain other individuals (collectively, “security holders”) do not apply to, among other things, and subject in certain cases to various conditions:</w:t>
      </w:r>
    </w:p>
    <w:p>
      <w:pPr>
        <w:spacing w:after="0" w:line="53" w:lineRule="exact"/>
        <w:rPr>
          <w:sz w:val="20"/>
          <w:szCs w:val="20"/>
          <w:color w:val="auto"/>
        </w:rPr>
      </w:pPr>
    </w:p>
    <w:p>
      <w:pPr>
        <w:ind w:left="2160" w:hanging="426"/>
        <w:spacing w:after="0"/>
        <w:tabs>
          <w:tab w:leader="none" w:pos="21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transfer by a security holder of shares or any securities convertible into, exchangeable for, exercisable for, or repayable with shares:</w:t>
      </w:r>
    </w:p>
    <w:p>
      <w:pPr>
        <w:spacing w:after="0" w:line="98" w:lineRule="exact"/>
        <w:rPr>
          <w:rFonts w:ascii="Times New Roman" w:cs="Times New Roman" w:eastAsia="Times New Roman" w:hAnsi="Times New Roman"/>
          <w:sz w:val="14"/>
          <w:szCs w:val="14"/>
          <w:color w:val="auto"/>
        </w:rPr>
      </w:pPr>
    </w:p>
    <w:p>
      <w:pPr>
        <w:ind w:left="2500" w:hanging="339"/>
        <w:spacing w:after="0"/>
        <w:tabs>
          <w:tab w:leader="none" w:pos="2500"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will, other testamentary document or intestacy;</w:t>
      </w:r>
    </w:p>
    <w:p>
      <w:pPr>
        <w:spacing w:after="0" w:line="98" w:lineRule="exact"/>
        <w:rPr>
          <w:rFonts w:ascii="Times New Roman" w:cs="Times New Roman" w:eastAsia="Times New Roman" w:hAnsi="Times New Roman"/>
          <w:sz w:val="14"/>
          <w:szCs w:val="14"/>
          <w:color w:val="auto"/>
        </w:rPr>
      </w:pPr>
    </w:p>
    <w:p>
      <w:pPr>
        <w:ind w:left="2500" w:right="639" w:hanging="339"/>
        <w:spacing w:after="0" w:line="259" w:lineRule="auto"/>
        <w:tabs>
          <w:tab w:leader="none" w:pos="2500"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bona fide gift or gifts, or for bona fide estate planning purposes, including without limitation to charitable organizations or educational institutions;</w:t>
      </w:r>
    </w:p>
    <w:p>
      <w:pPr>
        <w:ind w:left="2500" w:right="399" w:hanging="339"/>
        <w:spacing w:after="0" w:line="252" w:lineRule="auto"/>
        <w:tabs>
          <w:tab w:leader="none" w:pos="2500"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trust, partnership, limited liability company or other entity for the direct or indirect benefit of the security holder or the immediate family of the security holder, or if the security holder is a trust, to a trustor or beneficiary of the trust or to the estate of a beneficiary of such trust;</w:t>
      </w:r>
    </w:p>
    <w:p>
      <w:pPr>
        <w:spacing w:after="0" w:line="70" w:lineRule="exact"/>
        <w:rPr>
          <w:rFonts w:ascii="Times New Roman" w:cs="Times New Roman" w:eastAsia="Times New Roman" w:hAnsi="Times New Roman"/>
          <w:sz w:val="14"/>
          <w:szCs w:val="14"/>
          <w:color w:val="auto"/>
        </w:rPr>
      </w:pPr>
    </w:p>
    <w:p>
      <w:pPr>
        <w:ind w:left="2500" w:hanging="339"/>
        <w:spacing w:after="0"/>
        <w:tabs>
          <w:tab w:leader="none" w:pos="2500"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immediate family member or other dependent of the security holder;</w:t>
      </w:r>
    </w:p>
    <w:p>
      <w:pPr>
        <w:spacing w:after="0" w:line="98" w:lineRule="exact"/>
        <w:rPr>
          <w:rFonts w:ascii="Times New Roman" w:cs="Times New Roman" w:eastAsia="Times New Roman" w:hAnsi="Times New Roman"/>
          <w:sz w:val="14"/>
          <w:szCs w:val="14"/>
          <w:color w:val="auto"/>
        </w:rPr>
      </w:pPr>
    </w:p>
    <w:p>
      <w:pPr>
        <w:ind w:left="2500" w:right="279" w:hanging="339"/>
        <w:spacing w:after="0" w:line="258" w:lineRule="auto"/>
        <w:tabs>
          <w:tab w:leader="none" w:pos="2500"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distribution, transfer or disposition to limited partners, members, stockholders or other equity holders of the security holder or its affiliates (including a fund managed by the same manager or managing member or general partner or management company or by an entity controlling, controlled by, or under common control with such manager or managing member or general partner or management company as the security holder or who shares a common investment advisor with the security holder);</w:t>
      </w:r>
    </w:p>
    <w:p>
      <w:pPr>
        <w:spacing w:after="0" w:line="66" w:lineRule="exact"/>
        <w:rPr>
          <w:rFonts w:ascii="Times New Roman" w:cs="Times New Roman" w:eastAsia="Times New Roman" w:hAnsi="Times New Roman"/>
          <w:sz w:val="14"/>
          <w:szCs w:val="14"/>
          <w:color w:val="auto"/>
        </w:rPr>
      </w:pPr>
    </w:p>
    <w:p>
      <w:pPr>
        <w:ind w:left="2500" w:right="279" w:hanging="339"/>
        <w:spacing w:after="0" w:line="258" w:lineRule="auto"/>
        <w:tabs>
          <w:tab w:leader="none" w:pos="2500"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security holder’s affiliates or to any investment fund or other entity controlling, controlled by, managed by or under common control, or common investment management, with the security holder or affiliates of the security holder (including, for the avoidance of doubt, where the security holder is a partnership, to its general partner or a successor partnership or fund, or any other funds managed by such partnership);</w:t>
      </w:r>
    </w:p>
    <w:p>
      <w:pPr>
        <w:spacing w:after="0" w:line="66" w:lineRule="exact"/>
        <w:rPr>
          <w:rFonts w:ascii="Times New Roman" w:cs="Times New Roman" w:eastAsia="Times New Roman" w:hAnsi="Times New Roman"/>
          <w:sz w:val="14"/>
          <w:szCs w:val="14"/>
          <w:color w:val="auto"/>
        </w:rPr>
      </w:pPr>
    </w:p>
    <w:p>
      <w:pPr>
        <w:ind w:left="2500" w:right="339" w:hanging="339"/>
        <w:spacing w:after="0" w:line="278" w:lineRule="auto"/>
        <w:tabs>
          <w:tab w:leader="none" w:pos="2500"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 nominee or custodian of a person or entity to whom a disposition or transfer would be permissible under clauses (i) through (vi) above;</w:t>
      </w:r>
    </w:p>
    <w:p>
      <w:pPr>
        <w:spacing w:after="0" w:line="53" w:lineRule="exact"/>
        <w:rPr>
          <w:rFonts w:ascii="Times New Roman" w:cs="Times New Roman" w:eastAsia="Times New Roman" w:hAnsi="Times New Roman"/>
          <w:sz w:val="14"/>
          <w:szCs w:val="14"/>
          <w:color w:val="auto"/>
        </w:rPr>
      </w:pPr>
    </w:p>
    <w:p>
      <w:pPr>
        <w:ind w:left="2500" w:right="319" w:hanging="339"/>
        <w:spacing w:after="0" w:line="278" w:lineRule="auto"/>
        <w:tabs>
          <w:tab w:leader="none" w:pos="2500"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operation of law, including pursuant to an order of a court (including a final domestic order, divorce settlement, divorce decree or separation agreement or other order) or regulatory agency;</w:t>
      </w:r>
    </w:p>
    <w:p>
      <w:pPr>
        <w:spacing w:after="0" w:line="53" w:lineRule="exact"/>
        <w:rPr>
          <w:rFonts w:ascii="Times New Roman" w:cs="Times New Roman" w:eastAsia="Times New Roman" w:hAnsi="Times New Roman"/>
          <w:sz w:val="14"/>
          <w:szCs w:val="14"/>
          <w:color w:val="auto"/>
        </w:rPr>
      </w:pPr>
    </w:p>
    <w:p>
      <w:pPr>
        <w:ind w:left="2500" w:right="459" w:hanging="339"/>
        <w:spacing w:after="0" w:line="278" w:lineRule="auto"/>
        <w:tabs>
          <w:tab w:leader="none" w:pos="2500"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us from the security holder upon death, disability or termination of employment, in each case, of the security holder pursuant to any contractual arrangement that provides us with a right to purchase the security holder’s securities;</w:t>
      </w:r>
    </w:p>
    <w:p>
      <w:pPr>
        <w:spacing w:after="0" w:line="53" w:lineRule="exact"/>
        <w:rPr>
          <w:rFonts w:ascii="Times New Roman" w:cs="Times New Roman" w:eastAsia="Times New Roman" w:hAnsi="Times New Roman"/>
          <w:sz w:val="14"/>
          <w:szCs w:val="14"/>
          <w:color w:val="auto"/>
        </w:rPr>
      </w:pPr>
    </w:p>
    <w:p>
      <w:pPr>
        <w:ind w:left="2500" w:right="319" w:hanging="339"/>
        <w:spacing w:after="0" w:line="255" w:lineRule="auto"/>
        <w:tabs>
          <w:tab w:leader="none" w:pos="2500"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transactions by any person other than us relating to shares of Class A common stock acquired (A) in open market transactions after the completion of the offering or (B) from the Underwriters in this offering (for our Other Pre-IPO Investors only), provided that in the case of this clause (x) no public reports or filings (including filings under Section 16(a) of the Exchange Act) reporting a reduction in beneficial ownership of Class A common stock or Class B common stock shall be required or shall be voluntarily made during the lock-up period or any extension thereof;</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63</w:t>
      </w:r>
    </w:p>
    <w:p>
      <w:pPr>
        <w:sectPr>
          <w:pgSz w:w="11900" w:h="16838" w:orient="portrait"/>
          <w:cols w:equalWidth="0" w:num="1">
            <w:col w:w="10159"/>
          </w:cols>
          <w:pgMar w:left="300" w:top="383" w:right="1440"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2500" w:right="279" w:hanging="339"/>
        <w:spacing w:after="0" w:line="258" w:lineRule="auto"/>
        <w:tabs>
          <w:tab w:leader="none" w:pos="2500"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us pursuant to the “net” or “cashless” exercise at expiration of options, warrants or other rights to purchase shares of Class A common stock or Class B common stock granted pursuant to any employee equity incentive plan outstanding at or prior to the closing of the offering and referred to herein, provided that any shares of Class A common stock, Class B common stock or Common Units received in connection therewith shall be subject to the terms of the lock-up agreement;</w:t>
      </w:r>
    </w:p>
    <w:p>
      <w:pPr>
        <w:spacing w:after="0" w:line="66" w:lineRule="exact"/>
        <w:rPr>
          <w:rFonts w:ascii="Times New Roman" w:cs="Times New Roman" w:eastAsia="Times New Roman" w:hAnsi="Times New Roman"/>
          <w:sz w:val="14"/>
          <w:szCs w:val="14"/>
          <w:color w:val="auto"/>
        </w:rPr>
      </w:pPr>
    </w:p>
    <w:p>
      <w:pPr>
        <w:ind w:left="2500" w:right="319" w:hanging="339"/>
        <w:spacing w:after="0" w:line="263" w:lineRule="auto"/>
        <w:tabs>
          <w:tab w:leader="none" w:pos="2500"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respect of tax withholding payments (including estimated taxes) due upon the exercise at expiration of options or the vesting of any awards granted by us pursuant to any of our incentive plans, provided that any filings required to be made with the SEC or other publicity made regarding the same will indicate that such transactions relate to such tax withholding payments;</w:t>
      </w:r>
    </w:p>
    <w:p>
      <w:pPr>
        <w:spacing w:after="0" w:line="63" w:lineRule="exact"/>
        <w:rPr>
          <w:rFonts w:ascii="Times New Roman" w:cs="Times New Roman" w:eastAsia="Times New Roman" w:hAnsi="Times New Roman"/>
          <w:sz w:val="14"/>
          <w:szCs w:val="14"/>
          <w:color w:val="auto"/>
        </w:rPr>
      </w:pPr>
    </w:p>
    <w:p>
      <w:pPr>
        <w:ind w:left="2500" w:right="379" w:hanging="339"/>
        <w:spacing w:after="0" w:line="278" w:lineRule="auto"/>
        <w:tabs>
          <w:tab w:leader="none" w:pos="2500"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the sale of securities to be sold by the security holder in the manner described in the final prospectus used to sell shares of Class A Common Stock;</w:t>
      </w:r>
    </w:p>
    <w:p>
      <w:pPr>
        <w:spacing w:after="0" w:line="53" w:lineRule="exact"/>
        <w:rPr>
          <w:rFonts w:ascii="Times New Roman" w:cs="Times New Roman" w:eastAsia="Times New Roman" w:hAnsi="Times New Roman"/>
          <w:sz w:val="14"/>
          <w:szCs w:val="14"/>
          <w:color w:val="auto"/>
        </w:rPr>
      </w:pPr>
    </w:p>
    <w:p>
      <w:pPr>
        <w:ind w:left="2500" w:right="479" w:hanging="339"/>
        <w:spacing w:after="0" w:line="258" w:lineRule="auto"/>
        <w:tabs>
          <w:tab w:leader="none" w:pos="2500"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a bona fide third-party tender offer, merger, consolidation or other similar transaction that is approved by our board of directors and made to all holders of the our capital stock involving a change of control; provided that in the event that such tender offer, merger, consolidation or other similar transaction is not completed, the security holder’s shares shall remain subject to the provisions of the lock-up agreement; and/or</w:t>
      </w:r>
    </w:p>
    <w:p>
      <w:pPr>
        <w:spacing w:after="0" w:line="66" w:lineRule="exact"/>
        <w:rPr>
          <w:rFonts w:ascii="Times New Roman" w:cs="Times New Roman" w:eastAsia="Times New Roman" w:hAnsi="Times New Roman"/>
          <w:sz w:val="14"/>
          <w:szCs w:val="14"/>
          <w:color w:val="auto"/>
        </w:rPr>
      </w:pPr>
    </w:p>
    <w:p>
      <w:pPr>
        <w:ind w:left="2500" w:right="519" w:hanging="339"/>
        <w:spacing w:after="0" w:line="263" w:lineRule="auto"/>
        <w:tabs>
          <w:tab w:leader="none" w:pos="2500"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the prior written consent of either Goldman Sachs &amp; Co. LLC or Morgan Stanley &amp; Co. LLC, and one additional representative, on behalf of the underwriters; provided that we or the security holder shall also provide prior written notice to the other Representatives;</w:t>
      </w:r>
    </w:p>
    <w:p>
      <w:pPr>
        <w:spacing w:after="0" w:line="53" w:lineRule="exact"/>
        <w:rPr>
          <w:rFonts w:ascii="Times New Roman" w:cs="Times New Roman" w:eastAsia="Times New Roman" w:hAnsi="Times New Roman"/>
          <w:sz w:val="14"/>
          <w:szCs w:val="14"/>
          <w:color w:val="auto"/>
        </w:rPr>
      </w:pPr>
    </w:p>
    <w:p>
      <w:pPr>
        <w:ind w:left="2500" w:right="279"/>
        <w:spacing w:after="0" w:line="27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provided that: (1) (a) in the case of each transfer or distribution pursuant to clauses (ii) through (viii) above, each donee, trustee, distributee or transferee, as the case may be, agrees to be bound in writing by the restrictions described above (and, in the case of clause (viii), the security holder shall use reasonable best efforts to cause the transferee to deliver to the representatives a lock-up letter in the form of the lock-up agreement); and (b) in the case of transfers pursuant to clauses (ii), (iii), (iv), (v) and (vii), any such transfer or distribution shall not involve a disposition for value, other than with respect to any such transfer or distribution for which the transferor or distributor receives (x) equity interests of such transferee or (y) such transferee’s interests in the transferor; (2) in the case of each transfer or distribution pursuant to clauses (ii) through (vii), if any public reports or filings (including filings under Section 16(a) of the Exchange Act) reporting a reduction in beneficial ownership of Class A common stock or Class B common stock shall be required or shall be voluntarily made during the lock-up period or any extension thereof (a) the security holder shall provide the representatives prior written notice informing them of such report or filing and (b) such report or filing shall disclose that such donee, trustee, distributee or transferee, as the case may be, agrees to be bound in writing by the restrictions set forth herein; and (3) in the case of each transfer or distribution pursuant to clauses (viii) and (xii), if any public reports or filings (including filings under Section 16(a) of the Exchange Act) reporting a reduction in beneficial ownership of Class A common stock or Class B common stock shall be required or shall be voluntarily made during the lock-up period or any extension thereof (a) the security holder shall provide the representatives prior written notice informing them of such report or filing and (b) such report or filing shall disclose that such transfer or distributions was made under the circumstances described in clause (viii) or (xii), as applicable;</w:t>
      </w:r>
    </w:p>
    <w:p>
      <w:pPr>
        <w:spacing w:after="0" w:line="232" w:lineRule="exact"/>
        <w:rPr>
          <w:rFonts w:ascii="Times New Roman" w:cs="Times New Roman" w:eastAsia="Times New Roman" w:hAnsi="Times New Roman"/>
          <w:sz w:val="14"/>
          <w:szCs w:val="14"/>
          <w:color w:val="auto"/>
        </w:rPr>
      </w:pPr>
    </w:p>
    <w:p>
      <w:pPr>
        <w:ind w:left="2160" w:right="319" w:hanging="426"/>
        <w:spacing w:after="0" w:line="255" w:lineRule="auto"/>
        <w:tabs>
          <w:tab w:leader="none" w:pos="21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security holder is a corporation, the corporation may transfer the security holder’s shares to any wholly owned subsidiary of such corporation; provided, however, that in any such case, it shall be a condition to the transfer that the transferee execute an agreement stating that the transferee is receiving and holding such shares of Class A common stock, Class B common stock or Common Units subject to the provisions of the lock-up agreement and there shall be no further transfer of such shares of Class A common stock, Class B common stock or Common Units except in accordance with the lock-up agreement;</w:t>
      </w:r>
    </w:p>
    <w:p>
      <w:pPr>
        <w:spacing w:after="0" w:line="70" w:lineRule="exact"/>
        <w:rPr>
          <w:rFonts w:ascii="Times New Roman" w:cs="Times New Roman" w:eastAsia="Times New Roman" w:hAnsi="Times New Roman"/>
          <w:sz w:val="14"/>
          <w:szCs w:val="14"/>
          <w:color w:val="auto"/>
        </w:rPr>
      </w:pPr>
    </w:p>
    <w:p>
      <w:pPr>
        <w:ind w:left="2160" w:right="439" w:hanging="426"/>
        <w:spacing w:after="0" w:line="278" w:lineRule="auto"/>
        <w:tabs>
          <w:tab w:leader="none" w:pos="21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establishment of a trading plan pursuant to Rule 10b5-1 under the Exchange Act, provided that (i) no transfers occur under such plan during the lock-up period and (ii) no public announcement, filing or report</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64</w:t>
      </w:r>
    </w:p>
    <w:p>
      <w:pPr>
        <w:sectPr>
          <w:pgSz w:w="11900" w:h="16838" w:orient="portrait"/>
          <w:cols w:equalWidth="0" w:num="1">
            <w:col w:w="10159"/>
          </w:cols>
          <w:pgMar w:left="300" w:top="383" w:right="1440"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2160" w:right="379"/>
        <w:spacing w:after="0" w:line="255" w:lineRule="auto"/>
        <w:rPr>
          <w:sz w:val="20"/>
          <w:szCs w:val="20"/>
          <w:color w:val="auto"/>
        </w:rPr>
      </w:pPr>
      <w:r>
        <w:rPr>
          <w:rFonts w:ascii="Times New Roman" w:cs="Times New Roman" w:eastAsia="Times New Roman" w:hAnsi="Times New Roman"/>
          <w:sz w:val="14"/>
          <w:szCs w:val="14"/>
          <w:color w:val="auto"/>
        </w:rPr>
        <w:t>under the Exchange Act shall be voluntarily made by any person in connection therewith during the lock-up period (other than general disclosure in the Company’s periodic reports to the effect that our directors and officers may enter into such trading plans from time to time) and, if any announcement, filing or report shall be legally required during the lock-up period, such announcement, filing or report shall clearly indicate therein that none of the securities subject to such plan may be transferred, sold, or otherwise disposed of pursuant to such plan until after expiration of the lock-up period;</w:t>
      </w:r>
    </w:p>
    <w:p>
      <w:pPr>
        <w:spacing w:after="0" w:line="70" w:lineRule="exact"/>
        <w:rPr>
          <w:sz w:val="20"/>
          <w:szCs w:val="20"/>
          <w:color w:val="auto"/>
        </w:rPr>
      </w:pPr>
    </w:p>
    <w:p>
      <w:pPr>
        <w:ind w:left="2160" w:right="279" w:hanging="426"/>
        <w:spacing w:after="0" w:line="250" w:lineRule="auto"/>
        <w:tabs>
          <w:tab w:leader="none" w:pos="21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with respect to our Principal Stockholders and the Other Pre-IPO Investors, any pledge, charge, hypothecation or other granting of a security interest in the Class A common stock, Class B common stock, Common Units or any security convertible into Class A common stock or Class B common stock, to one or more banks, financial or other lending institutions as collateral or security for or in connection with any margin loan or other loans, advances or extensions of credit entered into by the security holder or any of its direct or indirect subsidiaries and any transfers of such Class A common stock, Class B common stock, Common Units or such other securities to the applicable lender(s) or other third parties upon or following foreclosure upon or enforcement of such Class A common stock, Class B common stock, Common Units or such securities in accordance with the terms of the documentation governing any margin loan or other loan, advance, or extension of credit (including, without limitation, pursuant to any agreement or arrangement existing as of the date hereof), and any transfers of such Class A Common Stock, Class B Common Stock, Common Units or such other securities among wholly owned subsidiaries of such securityholder to provide for the foregoing, </w:t>
      </w:r>
      <w:r>
        <w:rPr>
          <w:rFonts w:ascii="Times New Roman" w:cs="Times New Roman" w:eastAsia="Times New Roman" w:hAnsi="Times New Roman"/>
          <w:sz w:val="14"/>
          <w:szCs w:val="14"/>
          <w:i w:val="1"/>
          <w:iCs w:val="1"/>
          <w:color w:val="auto"/>
        </w:rPr>
        <w:t>provided that</w:t>
      </w:r>
      <w:r>
        <w:rPr>
          <w:rFonts w:ascii="Times New Roman" w:cs="Times New Roman" w:eastAsia="Times New Roman" w:hAnsi="Times New Roman"/>
          <w:sz w:val="14"/>
          <w:szCs w:val="14"/>
          <w:color w:val="auto"/>
        </w:rPr>
        <w:t xml:space="preserve"> any such subsidiaries that are not a party to a lock-up agreement execute and deliver to the representatives a lock-up agreement in substantially the same form as the lock-up agreement entered into in connection with this Offering, and </w:t>
      </w:r>
      <w:r>
        <w:rPr>
          <w:rFonts w:ascii="Times New Roman" w:cs="Times New Roman" w:eastAsia="Times New Roman" w:hAnsi="Times New Roman"/>
          <w:sz w:val="14"/>
          <w:szCs w:val="14"/>
          <w:i w:val="1"/>
          <w:iCs w:val="1"/>
          <w:color w:val="auto"/>
        </w:rPr>
        <w:t>provided further that</w:t>
      </w:r>
      <w:r>
        <w:rPr>
          <w:rFonts w:ascii="Times New Roman" w:cs="Times New Roman" w:eastAsia="Times New Roman" w:hAnsi="Times New Roman"/>
          <w:sz w:val="14"/>
          <w:szCs w:val="14"/>
          <w:color w:val="auto"/>
        </w:rPr>
        <w:t xml:space="preserve"> the security holder or the Company, as the case may be, shall provide the representatives prior written notice informing them of any public filing, report or announcement with respect to such pledge, hypothecation or other grant of a security interest; or</w:t>
      </w:r>
    </w:p>
    <w:p>
      <w:pPr>
        <w:spacing w:after="0" w:line="74" w:lineRule="exact"/>
        <w:rPr>
          <w:rFonts w:ascii="Times New Roman" w:cs="Times New Roman" w:eastAsia="Times New Roman" w:hAnsi="Times New Roman"/>
          <w:sz w:val="14"/>
          <w:szCs w:val="14"/>
          <w:color w:val="auto"/>
        </w:rPr>
      </w:pPr>
    </w:p>
    <w:p>
      <w:pPr>
        <w:ind w:left="2160" w:right="299" w:hanging="426"/>
        <w:spacing w:after="0" w:line="272" w:lineRule="auto"/>
        <w:tabs>
          <w:tab w:leader="none" w:pos="216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 the sale of the security holder’s securities to us or any of our subsidiaries in connection with the purchase of securities from the security holder by us or any of our subsidiaries with the net proceeds of this offering as contemplated in this prospectus; (ii) any sales made pursuant to a trading plan adopted pursuant to Rule 10b5-1 of the Exchange Act prior to the date of the lock-up agreement;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any filing under Section 16(a) of the Exchange Act that is made in connection with any such sales during the lock-up period shall state that such sales have been executed under a trading plan pursuant to Rule 10b5-1 under the Exchange Act, and shall also state the date such trading plan was adopted; (iii) any reclassification or conversion of shares of our common stock or conversion or exchange of common units for shares of our common stock; or (iv) any call options written by the security holder, and any disposition of the security holder’s securities made upon exercise of call options written by the security holder, and any pledge of such security holder’s securities as security thereunder and any exercises of remedies with respect to such security holder’s securities under such pledges, </w:t>
      </w:r>
      <w:r>
        <w:rPr>
          <w:rFonts w:ascii="Times New Roman" w:cs="Times New Roman" w:eastAsia="Times New Roman" w:hAnsi="Times New Roman"/>
          <w:sz w:val="13"/>
          <w:szCs w:val="13"/>
          <w:i w:val="1"/>
          <w:iCs w:val="1"/>
          <w:color w:val="auto"/>
        </w:rPr>
        <w:t>provided that</w:t>
      </w:r>
      <w:r>
        <w:rPr>
          <w:rFonts w:ascii="Times New Roman" w:cs="Times New Roman" w:eastAsia="Times New Roman" w:hAnsi="Times New Roman"/>
          <w:sz w:val="13"/>
          <w:szCs w:val="13"/>
          <w:color w:val="auto"/>
        </w:rPr>
        <w:t>, in the case of clause (iii) such shares of Class A common stock shall be subject to the provisions of the lock-up agreement.</w:t>
      </w:r>
    </w:p>
    <w:p>
      <w:pPr>
        <w:spacing w:after="0" w:line="13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Our Class A common stock is listed on Nasdaq under the symbol “MDLN.”</w:t>
      </w:r>
    </w:p>
    <w:p>
      <w:pPr>
        <w:spacing w:after="0" w:line="172" w:lineRule="exact"/>
        <w:rPr>
          <w:sz w:val="20"/>
          <w:szCs w:val="20"/>
          <w:color w:val="auto"/>
        </w:rPr>
      </w:pPr>
    </w:p>
    <w:p>
      <w:pPr>
        <w:ind w:left="1400" w:right="339" w:firstLine="339"/>
        <w:spacing w:after="0" w:line="253" w:lineRule="auto"/>
        <w:rPr>
          <w:sz w:val="20"/>
          <w:szCs w:val="20"/>
          <w:color w:val="auto"/>
        </w:rPr>
      </w:pPr>
      <w:r>
        <w:rPr>
          <w:rFonts w:ascii="Times New Roman" w:cs="Times New Roman" w:eastAsia="Times New Roman" w:hAnsi="Times New Roman"/>
          <w:sz w:val="14"/>
          <w:szCs w:val="14"/>
          <w:color w:val="auto"/>
        </w:rPr>
        <w:t>In connection with the offering, the underwriters may purchase and sell shares of Class A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65</w:t>
      </w:r>
    </w:p>
    <w:p>
      <w:pPr>
        <w:sectPr>
          <w:pgSz w:w="11900" w:h="16838" w:orient="portrait"/>
          <w:cols w:equalWidth="0" w:num="1">
            <w:col w:w="10159"/>
          </w:cols>
          <w:pgMar w:left="300" w:top="383" w:right="1440"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79"/>
        <w:spacing w:after="0" w:line="254" w:lineRule="auto"/>
        <w:rPr>
          <w:sz w:val="20"/>
          <w:szCs w:val="20"/>
          <w:color w:val="auto"/>
        </w:rPr>
      </w:pPr>
      <w:r>
        <w:rPr>
          <w:rFonts w:ascii="Times New Roman" w:cs="Times New Roman" w:eastAsia="Times New Roman" w:hAnsi="Times New Roman"/>
          <w:sz w:val="14"/>
          <w:szCs w:val="14"/>
          <w:color w:val="auto"/>
        </w:rPr>
        <w:t>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shares of Class A common stock in the open market after pricing that could adversely affect investors who purchase in the offering. Stabilizing transactions consist of various bids for or purchases of shares of Class A common stock made by the underwriters in the open market prior to the completion of the offering.</w:t>
      </w:r>
    </w:p>
    <w:p>
      <w:pPr>
        <w:spacing w:after="0" w:line="142" w:lineRule="exact"/>
        <w:rPr>
          <w:sz w:val="20"/>
          <w:szCs w:val="20"/>
          <w:color w:val="auto"/>
        </w:rPr>
      </w:pPr>
    </w:p>
    <w:p>
      <w:pPr>
        <w:ind w:left="1400" w:right="339" w:firstLine="339"/>
        <w:spacing w:after="0" w:line="263" w:lineRule="auto"/>
        <w:rPr>
          <w:sz w:val="20"/>
          <w:szCs w:val="20"/>
          <w:color w:val="auto"/>
        </w:rPr>
      </w:pPr>
      <w:r>
        <w:rPr>
          <w:rFonts w:ascii="Times New Roman" w:cs="Times New Roman" w:eastAsia="Times New Roman" w:hAnsi="Times New Roman"/>
          <w:sz w:val="14"/>
          <w:szCs w:val="14"/>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36" w:lineRule="exact"/>
        <w:rPr>
          <w:sz w:val="20"/>
          <w:szCs w:val="20"/>
          <w:color w:val="auto"/>
        </w:rPr>
      </w:pPr>
    </w:p>
    <w:p>
      <w:pPr>
        <w:ind w:left="1400" w:right="299" w:firstLine="339"/>
        <w:spacing w:after="0" w:line="255" w:lineRule="auto"/>
        <w:rPr>
          <w:sz w:val="20"/>
          <w:szCs w:val="20"/>
          <w:color w:val="auto"/>
        </w:rPr>
      </w:pPr>
      <w:r>
        <w:rPr>
          <w:rFonts w:ascii="Times New Roman" w:cs="Times New Roman" w:eastAsia="Times New Roman" w:hAnsi="Times New Roman"/>
          <w:sz w:val="14"/>
          <w:szCs w:val="14"/>
          <w:color w:val="auto"/>
        </w:rPr>
        <w:t>Purchases to cover a short position and stabilizing transactions, as well as other purchases by the underwriters for their own accounts, may have the effect of preventing or retarding a decline in the market price of our Class A common stock, and together with the imposition of the penalty bid, may stabilize, maintain, or otherwise affect the market price of the shares of Class A common stock. As a result, the price of the shares may be higher than the price that otherwise might exist in the open market. The underwriters are not required to engage in these activities and may end any of these activities at any time. These transactions may be effected on Nasdaq, in the over-the-counter market or otherwise.</w:t>
      </w:r>
    </w:p>
    <w:p>
      <w:pPr>
        <w:spacing w:after="0" w:line="14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4"/>
          <w:szCs w:val="14"/>
          <w:color w:val="auto"/>
        </w:rPr>
        <w:t>We estimate that our share of the total expenses of the offering, excluding underwriting discounts and commissions, will be approximately</w:t>
      </w:r>
    </w:p>
    <w:p>
      <w:pPr>
        <w:spacing w:after="0" w:line="21" w:lineRule="exact"/>
        <w:rPr>
          <w:sz w:val="20"/>
          <w:szCs w:val="20"/>
          <w:color w:val="auto"/>
        </w:rPr>
      </w:pPr>
    </w:p>
    <w:p>
      <w:pPr>
        <w:ind w:left="1400" w:right="419"/>
        <w:spacing w:after="0" w:line="256" w:lineRule="auto"/>
        <w:rPr>
          <w:sz w:val="20"/>
          <w:szCs w:val="20"/>
          <w:color w:val="auto"/>
        </w:rPr>
      </w:pPr>
      <w:r>
        <w:rPr>
          <w:rFonts w:ascii="Times New Roman" w:cs="Times New Roman" w:eastAsia="Times New Roman" w:hAnsi="Times New Roman"/>
          <w:sz w:val="14"/>
          <w:szCs w:val="14"/>
          <w:color w:val="auto"/>
        </w:rPr>
        <w:t>$3 million. We have also agreed to reimburse the underwriters for certain FINRA-related expenses incurred by them in connection with the offering in an amount up to $50,000.</w:t>
      </w:r>
    </w:p>
    <w:p>
      <w:pPr>
        <w:spacing w:after="0" w:line="141" w:lineRule="exact"/>
        <w:rPr>
          <w:sz w:val="20"/>
          <w:szCs w:val="20"/>
          <w:color w:val="auto"/>
        </w:rPr>
      </w:pPr>
    </w:p>
    <w:p>
      <w:pPr>
        <w:ind w:left="1400" w:right="759" w:firstLine="339"/>
        <w:spacing w:after="0" w:line="278" w:lineRule="auto"/>
        <w:rPr>
          <w:sz w:val="20"/>
          <w:szCs w:val="20"/>
          <w:color w:val="auto"/>
        </w:rPr>
      </w:pPr>
      <w:r>
        <w:rPr>
          <w:rFonts w:ascii="Times New Roman" w:cs="Times New Roman" w:eastAsia="Times New Roman" w:hAnsi="Times New Roman"/>
          <w:sz w:val="14"/>
          <w:szCs w:val="14"/>
          <w:color w:val="auto"/>
        </w:rPr>
        <w:t>We and the selling stockholders have agreed to indemnify the several underwriters against certain liabilities, including liabilities under the Securities Act.</w:t>
      </w:r>
    </w:p>
    <w:p>
      <w:pPr>
        <w:spacing w:after="0" w:line="126" w:lineRule="exact"/>
        <w:rPr>
          <w:sz w:val="20"/>
          <w:szCs w:val="20"/>
          <w:color w:val="auto"/>
        </w:rPr>
      </w:pPr>
    </w:p>
    <w:p>
      <w:pPr>
        <w:ind w:left="1400" w:right="339" w:firstLine="339"/>
        <w:spacing w:after="0" w:line="258" w:lineRule="auto"/>
        <w:rPr>
          <w:sz w:val="20"/>
          <w:szCs w:val="20"/>
          <w:color w:val="auto"/>
        </w:rPr>
      </w:pPr>
      <w:r>
        <w:rPr>
          <w:rFonts w:ascii="Times New Roman" w:cs="Times New Roman" w:eastAsia="Times New Roman" w:hAnsi="Times New Roman"/>
          <w:sz w:val="14"/>
          <w:szCs w:val="14"/>
          <w:color w:val="auto"/>
        </w:rPr>
        <w:t>A prospectus in electronic format may be made available on websites maintained by one or more underwriters, or selling group members, if any, participating in this offering. The representatives may agree to allocate a number of our shares to underwriters for sale to their online brokerage account holders. Internet distributions will be allocated by the representatives to underwriters that may make Internet distributions on the same basis as other allocations.</w:t>
      </w:r>
    </w:p>
    <w:p>
      <w:pPr>
        <w:spacing w:after="0" w:line="2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Other Relationships</w:t>
      </w:r>
    </w:p>
    <w:p>
      <w:pPr>
        <w:spacing w:after="0" w:line="91" w:lineRule="exact"/>
        <w:rPr>
          <w:sz w:val="20"/>
          <w:szCs w:val="20"/>
          <w:color w:val="auto"/>
        </w:rPr>
      </w:pPr>
    </w:p>
    <w:p>
      <w:pPr>
        <w:jc w:val="both"/>
        <w:ind w:left="1400" w:right="499" w:firstLine="339"/>
        <w:spacing w:after="0" w:line="284" w:lineRule="auto"/>
        <w:rPr>
          <w:sz w:val="20"/>
          <w:szCs w:val="20"/>
          <w:color w:val="auto"/>
        </w:rPr>
      </w:pPr>
      <w:r>
        <w:rPr>
          <w:rFonts w:ascii="Times New Roman" w:cs="Times New Roman" w:eastAsia="Times New Roman" w:hAnsi="Times New Roman"/>
          <w:sz w:val="13"/>
          <w:szCs w:val="13"/>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our affiliates, for which they received or will receive customary fees and expenses.</w:t>
      </w:r>
    </w:p>
    <w:p>
      <w:pPr>
        <w:spacing w:after="0" w:line="124" w:lineRule="exact"/>
        <w:rPr>
          <w:sz w:val="20"/>
          <w:szCs w:val="20"/>
          <w:color w:val="auto"/>
        </w:rPr>
      </w:pPr>
    </w:p>
    <w:p>
      <w:pPr>
        <w:ind w:left="1400" w:right="339" w:firstLine="339"/>
        <w:spacing w:after="0" w:line="253" w:lineRule="auto"/>
        <w:rPr>
          <w:sz w:val="20"/>
          <w:szCs w:val="20"/>
          <w:color w:val="auto"/>
        </w:rPr>
      </w:pPr>
      <w:r>
        <w:rPr>
          <w:rFonts w:ascii="Times New Roman" w:cs="Times New Roman" w:eastAsia="Times New Roman" w:hAnsi="Times New Roman"/>
          <w:sz w:val="14"/>
          <w:szCs w:val="14"/>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ours or our affiliates (directly, as collateral securing other obligations or otherwise).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66</w:t>
      </w:r>
    </w:p>
    <w:p>
      <w:pPr>
        <w:sectPr>
          <w:pgSz w:w="11900" w:h="16838" w:orient="portrait"/>
          <w:cols w:equalWidth="0" w:num="1">
            <w:col w:w="10159"/>
          </w:cols>
          <w:pgMar w:left="300" w:top="383" w:right="1440"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Settlement</w:t>
      </w:r>
    </w:p>
    <w:p>
      <w:pPr>
        <w:spacing w:after="0" w:line="91" w:lineRule="exact"/>
        <w:rPr>
          <w:sz w:val="20"/>
          <w:szCs w:val="20"/>
          <w:color w:val="auto"/>
        </w:rPr>
      </w:pPr>
    </w:p>
    <w:p>
      <w:pPr>
        <w:ind w:left="1400" w:right="299" w:firstLine="339"/>
        <w:spacing w:after="0" w:line="254" w:lineRule="auto"/>
        <w:rPr>
          <w:sz w:val="20"/>
          <w:szCs w:val="20"/>
          <w:color w:val="auto"/>
        </w:rPr>
      </w:pPr>
      <w:r>
        <w:rPr>
          <w:rFonts w:ascii="Times New Roman" w:cs="Times New Roman" w:eastAsia="Times New Roman" w:hAnsi="Times New Roman"/>
          <w:sz w:val="14"/>
          <w:szCs w:val="14"/>
          <w:color w:val="auto"/>
        </w:rPr>
        <w:t>We expect that delivery of the shares of Class A common stock will be made against payment therefor on or about the closing date specified on the cover page of this prospectus supplement, which is the third business day following the date of pricing of the shares of Class A common stock (this settlement cycle being referred to as “T+3”). Under Rule 15c6-1 of the Exchange Act, trades in the secondary market generally are required to settle in one business day, unless the parties to any such trade expressly agree otherwise. Accordingly, purchasers who wish to trade the shares of Class A common stock on the date of pricing will be required, by virtue of the fact that the shares of Class A common stock initially will settle in T+3, to specify an alternate settlement cycle at the time of any such trade to prevent a failed settlement and should consult their own advisors.</w:t>
      </w:r>
    </w:p>
    <w:p>
      <w:pPr>
        <w:spacing w:after="0" w:line="2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Conflicts of Interest</w:t>
      </w:r>
    </w:p>
    <w:p>
      <w:pPr>
        <w:spacing w:after="0" w:line="91" w:lineRule="exact"/>
        <w:rPr>
          <w:sz w:val="20"/>
          <w:szCs w:val="20"/>
          <w:color w:val="auto"/>
        </w:rPr>
      </w:pPr>
    </w:p>
    <w:p>
      <w:pPr>
        <w:ind w:left="1400" w:right="279" w:firstLine="339"/>
        <w:spacing w:after="0" w:line="253" w:lineRule="auto"/>
        <w:rPr>
          <w:sz w:val="20"/>
          <w:szCs w:val="20"/>
          <w:color w:val="auto"/>
        </w:rPr>
      </w:pPr>
      <w:r>
        <w:rPr>
          <w:rFonts w:ascii="Times New Roman" w:cs="Times New Roman" w:eastAsia="Times New Roman" w:hAnsi="Times New Roman"/>
          <w:sz w:val="14"/>
          <w:szCs w:val="14"/>
          <w:color w:val="auto"/>
        </w:rPr>
        <w:t>Affiliates of Blackstone beneficially own in excess of 10% of our issued and outstanding common stock and will receive in excess of 5% of the net proceeds of this offering. Because Blackstone Securities Partners L.P. is an underwriter in this offering, and its affiliates own in excess of 10% of our issued and outstanding common stock and will receive in excess of 5% of the net proceeds of this offering, Blackstone Securities Partners L.P. is deemed to have a “conflict of interest” under FINRA Rule 5121. Accordingly, this offering is being made in compliance with the requirements of Rule 5121. Pursuant to that rule, the appointment of a “qualified independent underwriter” is not required in connection with this offering as a “bona fide public market,” as defined in Rule 5121, exists for our Class A common stock. Blackstone Securities Partners L.P. will not confirm sales of the securities to any account over which it exercises discretionary authority without the specific written approval of the account holder.</w:t>
      </w:r>
    </w:p>
    <w:p>
      <w:pPr>
        <w:spacing w:after="0" w:line="2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Selling Restrictions</w:t>
      </w:r>
    </w:p>
    <w:p>
      <w:pPr>
        <w:spacing w:after="0" w:line="91" w:lineRule="exact"/>
        <w:rPr>
          <w:sz w:val="20"/>
          <w:szCs w:val="20"/>
          <w:color w:val="auto"/>
        </w:rPr>
      </w:pPr>
    </w:p>
    <w:p>
      <w:pPr>
        <w:ind w:left="1400" w:right="299" w:firstLine="339"/>
        <w:spacing w:after="0" w:line="253" w:lineRule="auto"/>
        <w:rPr>
          <w:sz w:val="20"/>
          <w:szCs w:val="20"/>
          <w:color w:val="auto"/>
        </w:rPr>
      </w:pPr>
      <w:r>
        <w:rPr>
          <w:rFonts w:ascii="Times New Roman" w:cs="Times New Roman" w:eastAsia="Times New Roman" w:hAnsi="Times New Roman"/>
          <w:sz w:val="14"/>
          <w:szCs w:val="14"/>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European Economic Area</w:t>
      </w:r>
    </w:p>
    <w:p>
      <w:pPr>
        <w:spacing w:after="0" w:line="91" w:lineRule="exact"/>
        <w:rPr>
          <w:sz w:val="20"/>
          <w:szCs w:val="20"/>
          <w:color w:val="auto"/>
        </w:rPr>
      </w:pPr>
    </w:p>
    <w:p>
      <w:pPr>
        <w:ind w:left="1400" w:right="379" w:firstLine="339"/>
        <w:spacing w:after="0" w:line="255" w:lineRule="auto"/>
        <w:rPr>
          <w:sz w:val="20"/>
          <w:szCs w:val="20"/>
          <w:color w:val="auto"/>
        </w:rPr>
      </w:pPr>
      <w:r>
        <w:rPr>
          <w:rFonts w:ascii="Times New Roman" w:cs="Times New Roman" w:eastAsia="Times New Roman" w:hAnsi="Times New Roman"/>
          <w:sz w:val="14"/>
          <w:szCs w:val="14"/>
          <w:color w:val="auto"/>
        </w:rPr>
        <w:t>In relation to each Member State of the European Economic Area (each a “Relevant State”), no shares of Class A common stock have been offered or will be offered pursuant to this offering to the public in that Relevant State prior to the publication of a prospectus in relation to the shares of Class A common stock which has been approved by the competent authority in that Relevant State or, where appropriate, approved in another Relevant State and notified to the competent authority in that Relevant State, all in accordance with the Prospectus Regulation, except that the shares of Class A common stock may be offered to the public in that Relevant State at any time:</w:t>
      </w:r>
    </w:p>
    <w:p>
      <w:pPr>
        <w:spacing w:after="0" w:line="70" w:lineRule="exact"/>
        <w:rPr>
          <w:sz w:val="20"/>
          <w:szCs w:val="20"/>
          <w:color w:val="auto"/>
        </w:rPr>
      </w:pPr>
    </w:p>
    <w:p>
      <w:pPr>
        <w:ind w:left="2160" w:hanging="426"/>
        <w:spacing w:after="0"/>
        <w:tabs>
          <w:tab w:leader="none" w:pos="21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qualified investor as defined under Article 2 of the Prospectus Regulation;</w:t>
      </w:r>
    </w:p>
    <w:p>
      <w:pPr>
        <w:spacing w:after="0" w:line="98" w:lineRule="exact"/>
        <w:rPr>
          <w:rFonts w:ascii="Times New Roman" w:cs="Times New Roman" w:eastAsia="Times New Roman" w:hAnsi="Times New Roman"/>
          <w:sz w:val="14"/>
          <w:szCs w:val="14"/>
          <w:color w:val="auto"/>
        </w:rPr>
      </w:pPr>
    </w:p>
    <w:p>
      <w:pPr>
        <w:ind w:left="2160" w:right="379" w:hanging="426"/>
        <w:spacing w:after="0" w:line="278" w:lineRule="auto"/>
        <w:tabs>
          <w:tab w:leader="none" w:pos="21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fewer than 150 natural or legal persons (other than qualified investors as defined under Article 2 of the Prospectus Regulation), subject to obtaining the prior consent of the underwriters for any such offer; or</w:t>
      </w:r>
    </w:p>
    <w:p>
      <w:pPr>
        <w:spacing w:after="0" w:line="53" w:lineRule="exact"/>
        <w:rPr>
          <w:rFonts w:ascii="Times New Roman" w:cs="Times New Roman" w:eastAsia="Times New Roman" w:hAnsi="Times New Roman"/>
          <w:sz w:val="14"/>
          <w:szCs w:val="14"/>
          <w:color w:val="auto"/>
        </w:rPr>
      </w:pPr>
    </w:p>
    <w:p>
      <w:pPr>
        <w:ind w:left="2160" w:hanging="426"/>
        <w:spacing w:after="0"/>
        <w:tabs>
          <w:tab w:leader="none" w:pos="21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other circumstances falling within Article 1(4) of the Prospectus Regulation,</w:t>
      </w:r>
    </w:p>
    <w:p>
      <w:pPr>
        <w:spacing w:after="0" w:line="1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67</w:t>
      </w:r>
    </w:p>
    <w:p>
      <w:pPr>
        <w:sectPr>
          <w:pgSz w:w="11900" w:h="16838" w:orient="portrait"/>
          <w:cols w:equalWidth="0" w:num="1">
            <w:col w:w="10159"/>
          </w:cols>
          <w:pgMar w:left="300" w:top="383" w:right="1440"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1400" w:right="299" w:firstLine="339"/>
        <w:spacing w:after="0" w:line="264" w:lineRule="auto"/>
        <w:rPr>
          <w:sz w:val="20"/>
          <w:szCs w:val="20"/>
          <w:color w:val="auto"/>
        </w:rPr>
      </w:pPr>
      <w:r>
        <w:rPr>
          <w:rFonts w:ascii="Times New Roman" w:cs="Times New Roman" w:eastAsia="Times New Roman" w:hAnsi="Times New Roman"/>
          <w:sz w:val="14"/>
          <w:szCs w:val="14"/>
          <w:i w:val="1"/>
          <w:iCs w:val="1"/>
          <w:color w:val="auto"/>
        </w:rPr>
        <w:t xml:space="preserve">provided </w:t>
      </w:r>
      <w:r>
        <w:rPr>
          <w:rFonts w:ascii="Times New Roman" w:cs="Times New Roman" w:eastAsia="Times New Roman" w:hAnsi="Times New Roman"/>
          <w:sz w:val="14"/>
          <w:szCs w:val="14"/>
          <w:color w:val="auto"/>
        </w:rPr>
        <w:t>that no such offer of the shares of Class A common stock shall require us or any underwriter to publish a prospectus pursuant to Article 3</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the Prospectus Regulation, supplement a prospectus pursuant to Article 23 of the Prospectus Regulation or publish an Annex IX document pursuant to Article 1(4) of the Prospectus Regulation.</w:t>
      </w:r>
    </w:p>
    <w:p>
      <w:pPr>
        <w:spacing w:after="0" w:line="136" w:lineRule="exact"/>
        <w:rPr>
          <w:sz w:val="20"/>
          <w:szCs w:val="20"/>
          <w:color w:val="auto"/>
        </w:rPr>
      </w:pPr>
    </w:p>
    <w:p>
      <w:pPr>
        <w:ind w:left="1400" w:right="359" w:firstLine="339"/>
        <w:spacing w:after="0" w:line="258" w:lineRule="auto"/>
        <w:rPr>
          <w:sz w:val="20"/>
          <w:szCs w:val="20"/>
          <w:color w:val="auto"/>
        </w:rPr>
      </w:pPr>
      <w:r>
        <w:rPr>
          <w:rFonts w:ascii="Times New Roman" w:cs="Times New Roman" w:eastAsia="Times New Roman" w:hAnsi="Times New Roman"/>
          <w:sz w:val="14"/>
          <w:szCs w:val="14"/>
          <w:color w:val="auto"/>
        </w:rPr>
        <w:t>For the purposes of this provision, the expression an “offer to the public” in relation to the shares of Class A common stock in any Relevant State means the communication in any form and by any means of sufficient information on the terms of the offer and any shares of Class A common stock to be offered so as to enable an investor to decide to purchase any shares of Class A common stock, and the expression “Prospectus Regulation” means Regulation (EU) 2017/1129.</w:t>
      </w:r>
    </w:p>
    <w:p>
      <w:pPr>
        <w:spacing w:after="0" w:line="2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United Kingdom</w:t>
      </w:r>
    </w:p>
    <w:p>
      <w:pPr>
        <w:spacing w:after="0" w:line="91" w:lineRule="exact"/>
        <w:rPr>
          <w:sz w:val="20"/>
          <w:szCs w:val="20"/>
          <w:color w:val="auto"/>
        </w:rPr>
      </w:pPr>
    </w:p>
    <w:p>
      <w:pPr>
        <w:ind w:left="1400" w:right="339" w:firstLine="339"/>
        <w:spacing w:after="0" w:line="278" w:lineRule="auto"/>
        <w:rPr>
          <w:sz w:val="20"/>
          <w:szCs w:val="20"/>
          <w:color w:val="auto"/>
        </w:rPr>
      </w:pPr>
      <w:r>
        <w:rPr>
          <w:rFonts w:ascii="Times New Roman" w:cs="Times New Roman" w:eastAsia="Times New Roman" w:hAnsi="Times New Roman"/>
          <w:sz w:val="14"/>
          <w:szCs w:val="14"/>
          <w:color w:val="auto"/>
        </w:rPr>
        <w:t>No shares of Class A common stock have been offered or will be offered pursuant to this offering to the public in the United Kingdom except that the shares of Class A common stock may be offered to the public in the United Kingdom at any time:</w:t>
      </w:r>
    </w:p>
    <w:p>
      <w:pPr>
        <w:spacing w:after="0" w:line="53" w:lineRule="exact"/>
        <w:rPr>
          <w:sz w:val="20"/>
          <w:szCs w:val="20"/>
          <w:color w:val="auto"/>
        </w:rPr>
      </w:pPr>
    </w:p>
    <w:p>
      <w:pPr>
        <w:ind w:left="2160" w:right="579" w:hanging="426"/>
        <w:spacing w:after="0" w:line="278" w:lineRule="auto"/>
        <w:tabs>
          <w:tab w:leader="none" w:pos="21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the offer is conditional on the admission of the shares of Class A common stock to trading on the London Stock Exchange plc’s main market (in reliance on the exception in paragraph 6(a) of Schedule 1 of the POATR);</w:t>
      </w:r>
    </w:p>
    <w:p>
      <w:pPr>
        <w:spacing w:after="0" w:line="53" w:lineRule="exact"/>
        <w:rPr>
          <w:rFonts w:ascii="Times New Roman" w:cs="Times New Roman" w:eastAsia="Times New Roman" w:hAnsi="Times New Roman"/>
          <w:sz w:val="14"/>
          <w:szCs w:val="14"/>
          <w:color w:val="auto"/>
        </w:rPr>
      </w:pPr>
    </w:p>
    <w:p>
      <w:pPr>
        <w:ind w:left="2160" w:hanging="426"/>
        <w:spacing w:after="0"/>
        <w:tabs>
          <w:tab w:leader="none" w:pos="21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qualified investor as defined under paragraph 15 of Schedule 1 of the POATR;</w:t>
      </w:r>
    </w:p>
    <w:p>
      <w:pPr>
        <w:spacing w:after="0" w:line="98" w:lineRule="exact"/>
        <w:rPr>
          <w:rFonts w:ascii="Times New Roman" w:cs="Times New Roman" w:eastAsia="Times New Roman" w:hAnsi="Times New Roman"/>
          <w:sz w:val="14"/>
          <w:szCs w:val="14"/>
          <w:color w:val="auto"/>
        </w:rPr>
      </w:pPr>
    </w:p>
    <w:p>
      <w:pPr>
        <w:ind w:left="2160" w:right="339" w:hanging="426"/>
        <w:spacing w:after="0" w:line="278" w:lineRule="auto"/>
        <w:tabs>
          <w:tab w:leader="none" w:pos="21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fewer than 150 persons (other than qualified investors as defined under paragraph 15 of Schedule 1 of the POATR), subject to obtaining the prior consent of the underwriters for any such offer; or</w:t>
      </w:r>
    </w:p>
    <w:p>
      <w:pPr>
        <w:spacing w:after="0" w:line="53" w:lineRule="exact"/>
        <w:rPr>
          <w:rFonts w:ascii="Times New Roman" w:cs="Times New Roman" w:eastAsia="Times New Roman" w:hAnsi="Times New Roman"/>
          <w:sz w:val="14"/>
          <w:szCs w:val="14"/>
          <w:color w:val="auto"/>
        </w:rPr>
      </w:pPr>
    </w:p>
    <w:p>
      <w:pPr>
        <w:ind w:left="2160" w:hanging="426"/>
        <w:spacing w:after="0"/>
        <w:tabs>
          <w:tab w:leader="none" w:pos="21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other circumstances falling within Part 1 of Schedule 1 of the POATR.</w:t>
      </w:r>
    </w:p>
    <w:p>
      <w:pPr>
        <w:spacing w:after="0" w:line="172" w:lineRule="exact"/>
        <w:rPr>
          <w:sz w:val="20"/>
          <w:szCs w:val="20"/>
          <w:color w:val="auto"/>
        </w:rPr>
      </w:pPr>
    </w:p>
    <w:p>
      <w:pPr>
        <w:ind w:left="1400" w:right="399" w:firstLine="339"/>
        <w:spacing w:after="0" w:line="279" w:lineRule="auto"/>
        <w:rPr>
          <w:sz w:val="20"/>
          <w:szCs w:val="20"/>
          <w:color w:val="auto"/>
        </w:rPr>
      </w:pPr>
      <w:r>
        <w:rPr>
          <w:rFonts w:ascii="Times New Roman" w:cs="Times New Roman" w:eastAsia="Times New Roman" w:hAnsi="Times New Roman"/>
          <w:sz w:val="13"/>
          <w:szCs w:val="13"/>
          <w:color w:val="auto"/>
        </w:rPr>
        <w:t>For the purposes of this provision, the expression an “offer to the public” in relation to the shares of Class A common stock in the United Kingdom means the communication to any person which presents sufficient information on: (a) the shares of Class A common stock to be offered; and</w:t>
      </w:r>
    </w:p>
    <w:p>
      <w:pPr>
        <w:ind w:left="1400" w:right="759" w:firstLine="2"/>
        <w:spacing w:after="0" w:line="256" w:lineRule="auto"/>
        <w:tabs>
          <w:tab w:leader="none" w:pos="1596"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on which they are to be offered, to enable an investor to decide to buy or subscribe for the shares of Class A common stock and the expressions “POATR” means the Public Offers and Admissions to Trading Regulations 2024.</w:t>
      </w:r>
    </w:p>
    <w:p>
      <w:pPr>
        <w:spacing w:after="0" w:line="141" w:lineRule="exact"/>
        <w:rPr>
          <w:sz w:val="20"/>
          <w:szCs w:val="20"/>
          <w:color w:val="auto"/>
        </w:rPr>
      </w:pPr>
    </w:p>
    <w:p>
      <w:pPr>
        <w:ind w:left="1400" w:right="419" w:firstLine="339"/>
        <w:spacing w:after="0" w:line="258" w:lineRule="auto"/>
        <w:rPr>
          <w:sz w:val="20"/>
          <w:szCs w:val="20"/>
          <w:color w:val="auto"/>
        </w:rPr>
      </w:pPr>
      <w:r>
        <w:rPr>
          <w:rFonts w:ascii="Times New Roman" w:cs="Times New Roman" w:eastAsia="Times New Roman" w:hAnsi="Times New Roman"/>
          <w:sz w:val="14"/>
          <w:szCs w:val="14"/>
          <w:color w:val="auto"/>
        </w:rPr>
        <w:t>Each person in the United Kingdom who receives any communication in respect of, or who acquires any of our shares of Class A common stock under, the offers to the public contemplated in this prospectus, or to whom our shares of Class A common stock are otherwise made available, will be deemed to have represented, warranted, acknowledged, and agreed to and with us, the underwriters, and their respective affiliates that it meets the criteria outlined in this section.</w:t>
      </w:r>
    </w:p>
    <w:p>
      <w:pPr>
        <w:spacing w:after="0" w:line="2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Canada</w:t>
      </w:r>
    </w:p>
    <w:p>
      <w:pPr>
        <w:spacing w:after="0" w:line="91" w:lineRule="exact"/>
        <w:rPr>
          <w:sz w:val="20"/>
          <w:szCs w:val="20"/>
          <w:color w:val="auto"/>
        </w:rPr>
      </w:pPr>
    </w:p>
    <w:p>
      <w:pPr>
        <w:ind w:left="1400" w:right="299" w:firstLine="339"/>
        <w:spacing w:after="0" w:line="255" w:lineRule="auto"/>
        <w:rPr>
          <w:sz w:val="20"/>
          <w:szCs w:val="20"/>
          <w:color w:val="auto"/>
        </w:rPr>
      </w:pPr>
      <w:r>
        <w:rPr>
          <w:rFonts w:ascii="Times New Roman" w:cs="Times New Roman" w:eastAsia="Times New Roman" w:hAnsi="Times New Roman"/>
          <w:sz w:val="14"/>
          <w:szCs w:val="14"/>
          <w:color w:val="auto"/>
        </w:rPr>
        <w:t>The shares of Class A common stock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Class A common stock must be made in accordance with an exemption from, or in a transaction not subject to, the prospectus requirements of applicable securities laws.</w:t>
      </w:r>
    </w:p>
    <w:p>
      <w:pPr>
        <w:spacing w:after="0" w:line="143" w:lineRule="exact"/>
        <w:rPr>
          <w:sz w:val="20"/>
          <w:szCs w:val="20"/>
          <w:color w:val="auto"/>
        </w:rPr>
      </w:pPr>
    </w:p>
    <w:p>
      <w:pPr>
        <w:ind w:left="1400" w:right="439" w:firstLine="339"/>
        <w:spacing w:after="0" w:line="284" w:lineRule="auto"/>
        <w:rPr>
          <w:sz w:val="20"/>
          <w:szCs w:val="20"/>
          <w:color w:val="auto"/>
        </w:rPr>
      </w:pPr>
      <w:r>
        <w:rPr>
          <w:rFonts w:ascii="Times New Roman" w:cs="Times New Roman" w:eastAsia="Times New Roman" w:hAnsi="Times New Roman"/>
          <w:sz w:val="13"/>
          <w:szCs w:val="13"/>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68</w:t>
      </w:r>
    </w:p>
    <w:p>
      <w:pPr>
        <w:sectPr>
          <w:pgSz w:w="11900" w:h="16838" w:orient="portrait"/>
          <w:cols w:equalWidth="0" w:num="1">
            <w:col w:w="10159"/>
          </w:cols>
          <w:pgMar w:left="300" w:top="383" w:right="1440"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39" w:firstLine="339"/>
        <w:spacing w:after="0" w:line="278" w:lineRule="auto"/>
        <w:rPr>
          <w:sz w:val="20"/>
          <w:szCs w:val="20"/>
          <w:color w:val="auto"/>
        </w:rPr>
      </w:pPr>
      <w:r>
        <w:rPr>
          <w:rFonts w:ascii="Times New Roman" w:cs="Times New Roman" w:eastAsia="Times New Roman" w:hAnsi="Times New Roman"/>
          <w:sz w:val="14"/>
          <w:szCs w:val="14"/>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0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Dubai International Financial Centre</w:t>
      </w:r>
    </w:p>
    <w:p>
      <w:pPr>
        <w:spacing w:after="0" w:line="91" w:lineRule="exact"/>
        <w:rPr>
          <w:sz w:val="20"/>
          <w:szCs w:val="20"/>
          <w:color w:val="auto"/>
        </w:rPr>
      </w:pPr>
    </w:p>
    <w:p>
      <w:pPr>
        <w:ind w:left="1400" w:right="499" w:firstLine="339"/>
        <w:spacing w:after="0" w:line="253" w:lineRule="auto"/>
        <w:rPr>
          <w:sz w:val="20"/>
          <w:szCs w:val="20"/>
          <w:color w:val="auto"/>
        </w:rPr>
      </w:pPr>
      <w:r>
        <w:rPr>
          <w:rFonts w:ascii="Times New Roman" w:cs="Times New Roman" w:eastAsia="Times New Roman" w:hAnsi="Times New Roman"/>
          <w:sz w:val="14"/>
          <w:szCs w:val="14"/>
          <w:color w:val="auto"/>
        </w:rPr>
        <w:t>This prospectus relates to an “Exempt Offer” in accordance with the Offered Securities Rules of the Dubai Financial Services Authority (the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of our Class A common stock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2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Switzerland</w:t>
      </w:r>
    </w:p>
    <w:p>
      <w:pPr>
        <w:spacing w:after="0" w:line="91" w:lineRule="exact"/>
        <w:rPr>
          <w:sz w:val="20"/>
          <w:szCs w:val="20"/>
          <w:color w:val="auto"/>
        </w:rPr>
      </w:pPr>
    </w:p>
    <w:p>
      <w:pPr>
        <w:ind w:left="1400" w:right="319" w:firstLine="339"/>
        <w:spacing w:after="0" w:line="255" w:lineRule="auto"/>
        <w:rPr>
          <w:sz w:val="20"/>
          <w:szCs w:val="20"/>
          <w:color w:val="auto"/>
        </w:rPr>
      </w:pPr>
      <w:r>
        <w:rPr>
          <w:rFonts w:ascii="Times New Roman" w:cs="Times New Roman" w:eastAsia="Times New Roman" w:hAnsi="Times New Roman"/>
          <w:sz w:val="14"/>
          <w:szCs w:val="14"/>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43" w:lineRule="exact"/>
        <w:rPr>
          <w:sz w:val="20"/>
          <w:szCs w:val="20"/>
          <w:color w:val="auto"/>
        </w:rPr>
      </w:pPr>
    </w:p>
    <w:p>
      <w:pPr>
        <w:ind w:left="1400" w:right="299" w:firstLine="339"/>
        <w:spacing w:after="0" w:line="255" w:lineRule="auto"/>
        <w:rPr>
          <w:sz w:val="20"/>
          <w:szCs w:val="20"/>
          <w:color w:val="auto"/>
        </w:rPr>
      </w:pPr>
      <w:r>
        <w:rPr>
          <w:rFonts w:ascii="Times New Roman" w:cs="Times New Roman" w:eastAsia="Times New Roman" w:hAnsi="Times New Roman"/>
          <w:sz w:val="14"/>
          <w:szCs w:val="14"/>
          <w:color w:val="auto"/>
        </w:rPr>
        <w:t>Neither this prospectus nor any other offering or marketing material relating to the offering, us, or the shares of Class A common stock have been or will be filed with or approved by any Swiss regulatory authority. In particular, this prospectus will not be filed with, and the offer of shares of Class A common stock will not be supervised by, FINMA, and the offer of shares of Class A common stock has not been and will not be authorized under CISA. The investor protection afforded to acquirers of interests in collective investment schemes under the CISA does not extend to acquirers of shares of Class A common stock.</w:t>
      </w:r>
    </w:p>
    <w:p>
      <w:pPr>
        <w:spacing w:after="0" w:line="2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Hong Kong</w:t>
      </w:r>
    </w:p>
    <w:p>
      <w:pPr>
        <w:spacing w:after="0" w:line="91" w:lineRule="exact"/>
        <w:rPr>
          <w:sz w:val="20"/>
          <w:szCs w:val="20"/>
          <w:color w:val="auto"/>
        </w:rPr>
      </w:pPr>
    </w:p>
    <w:p>
      <w:pPr>
        <w:ind w:left="1400" w:right="299" w:firstLine="339"/>
        <w:spacing w:after="0" w:line="251" w:lineRule="auto"/>
        <w:rPr>
          <w:sz w:val="20"/>
          <w:szCs w:val="20"/>
          <w:color w:val="auto"/>
        </w:rPr>
      </w:pPr>
      <w:r>
        <w:rPr>
          <w:rFonts w:ascii="Times New Roman" w:cs="Times New Roman" w:eastAsia="Times New Roman" w:hAnsi="Times New Roman"/>
          <w:sz w:val="14"/>
          <w:szCs w:val="14"/>
          <w:color w:val="auto"/>
        </w:rPr>
        <w:t>The shares of Class A common stock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of Class A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of Class A common stock which are or are intended to be disposed of only to persons outside Hong Kong or only to “professional investors” as defined in the Securities and Futures Ordinance and any rules made under that Ordinance.</w:t>
      </w:r>
    </w:p>
    <w:p>
      <w:pPr>
        <w:spacing w:after="0" w:line="23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Australia</w:t>
      </w:r>
    </w:p>
    <w:p>
      <w:pPr>
        <w:spacing w:after="0" w:line="91" w:lineRule="exact"/>
        <w:rPr>
          <w:sz w:val="20"/>
          <w:szCs w:val="20"/>
          <w:color w:val="auto"/>
        </w:rPr>
      </w:pPr>
    </w:p>
    <w:p>
      <w:pPr>
        <w:ind w:left="1400" w:right="459" w:firstLine="339"/>
        <w:spacing w:after="0" w:line="263" w:lineRule="auto"/>
        <w:rPr>
          <w:sz w:val="20"/>
          <w:szCs w:val="20"/>
          <w:color w:val="auto"/>
        </w:rPr>
      </w:pPr>
      <w:r>
        <w:rPr>
          <w:rFonts w:ascii="Times New Roman" w:cs="Times New Roman" w:eastAsia="Times New Roman" w:hAnsi="Times New Roman"/>
          <w:sz w:val="14"/>
          <w:szCs w:val="14"/>
          <w:color w:val="auto"/>
        </w:rPr>
        <w:t>No placement document, prospectus, product disclosure statement, or other disclosure document has been lodged with the Australian Securities and Investments Commission in relation to this offering. This prospectus does not constitute a prospectus, product disclosure statement, or other disclosure document under Chapter 6D.2</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69</w:t>
      </w:r>
    </w:p>
    <w:p>
      <w:pPr>
        <w:sectPr>
          <w:pgSz w:w="11900" w:h="16838" w:orient="portrait"/>
          <w:cols w:equalWidth="0" w:num="1">
            <w:col w:w="10159"/>
          </w:cols>
          <w:pgMar w:left="300" w:top="383" w:right="1440"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519"/>
        <w:spacing w:after="0" w:line="278" w:lineRule="auto"/>
        <w:rPr>
          <w:sz w:val="20"/>
          <w:szCs w:val="20"/>
          <w:color w:val="auto"/>
        </w:rPr>
      </w:pPr>
      <w:r>
        <w:rPr>
          <w:rFonts w:ascii="Times New Roman" w:cs="Times New Roman" w:eastAsia="Times New Roman" w:hAnsi="Times New Roman"/>
          <w:sz w:val="14"/>
          <w:szCs w:val="14"/>
          <w:color w:val="auto"/>
        </w:rPr>
        <w:t>of the Corporations Act 2001 (the “Corporations Act”), and does not purport to include the information required for a prospectus, product disclosure statement, or other disclosure document under the Corporations Act.</w:t>
      </w:r>
    </w:p>
    <w:p>
      <w:pPr>
        <w:spacing w:after="0" w:line="126" w:lineRule="exact"/>
        <w:rPr>
          <w:sz w:val="20"/>
          <w:szCs w:val="20"/>
          <w:color w:val="auto"/>
        </w:rPr>
      </w:pPr>
    </w:p>
    <w:p>
      <w:pPr>
        <w:ind w:left="1400" w:right="319" w:firstLine="339"/>
        <w:spacing w:after="0" w:line="258" w:lineRule="auto"/>
        <w:rPr>
          <w:sz w:val="20"/>
          <w:szCs w:val="20"/>
          <w:color w:val="auto"/>
        </w:rPr>
      </w:pPr>
      <w:r>
        <w:rPr>
          <w:rFonts w:ascii="Times New Roman" w:cs="Times New Roman" w:eastAsia="Times New Roman" w:hAnsi="Times New Roman"/>
          <w:sz w:val="14"/>
          <w:szCs w:val="14"/>
          <w:color w:val="auto"/>
        </w:rPr>
        <w:t>Any offer in Australia of the shares may only be made to persons, or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40" w:lineRule="exact"/>
        <w:rPr>
          <w:sz w:val="20"/>
          <w:szCs w:val="20"/>
          <w:color w:val="auto"/>
        </w:rPr>
      </w:pPr>
    </w:p>
    <w:p>
      <w:pPr>
        <w:ind w:left="1400" w:right="539" w:firstLine="339"/>
        <w:spacing w:after="0" w:line="258" w:lineRule="auto"/>
        <w:rPr>
          <w:sz w:val="20"/>
          <w:szCs w:val="20"/>
          <w:color w:val="auto"/>
        </w:rPr>
      </w:pPr>
      <w:r>
        <w:rPr>
          <w:rFonts w:ascii="Times New Roman" w:cs="Times New Roman" w:eastAsia="Times New Roman" w:hAnsi="Times New Roman"/>
          <w:sz w:val="14"/>
          <w:szCs w:val="14"/>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40" w:lineRule="exact"/>
        <w:rPr>
          <w:sz w:val="20"/>
          <w:szCs w:val="20"/>
          <w:color w:val="auto"/>
        </w:rPr>
      </w:pPr>
    </w:p>
    <w:p>
      <w:pPr>
        <w:ind w:left="1400" w:right="339" w:firstLine="339"/>
        <w:spacing w:after="0" w:line="258" w:lineRule="auto"/>
        <w:rPr>
          <w:sz w:val="20"/>
          <w:szCs w:val="20"/>
          <w:color w:val="auto"/>
        </w:rPr>
      </w:pPr>
      <w:r>
        <w:rPr>
          <w:rFonts w:ascii="Times New Roman" w:cs="Times New Roman" w:eastAsia="Times New Roman" w:hAnsi="Times New Roman"/>
          <w:sz w:val="14"/>
          <w:szCs w:val="14"/>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Israel</w:t>
      </w:r>
    </w:p>
    <w:p>
      <w:pPr>
        <w:spacing w:after="0" w:line="91" w:lineRule="exact"/>
        <w:rPr>
          <w:sz w:val="20"/>
          <w:szCs w:val="20"/>
          <w:color w:val="auto"/>
        </w:rPr>
      </w:pPr>
    </w:p>
    <w:p>
      <w:pPr>
        <w:ind w:left="1400" w:right="359" w:firstLine="339"/>
        <w:spacing w:after="0" w:line="251" w:lineRule="auto"/>
        <w:rPr>
          <w:sz w:val="20"/>
          <w:szCs w:val="20"/>
          <w:color w:val="auto"/>
        </w:rPr>
      </w:pPr>
      <w:r>
        <w:rPr>
          <w:rFonts w:ascii="Times New Roman" w:cs="Times New Roman" w:eastAsia="Times New Roman" w:hAnsi="Times New Roman"/>
          <w:sz w:val="14"/>
          <w:szCs w:val="14"/>
          <w:color w:val="auto"/>
        </w:rPr>
        <w:t>In the State of Israel this prospectus shall not be regarded as an offer to the public to purchase shares of Class A common stock under the Israeli Securities Law, 5728—1968,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(the “Addressed Investors”), or (ii) the offer is made, distributed, or directed to certain qualified investors defined in the First Addendum of the Israeli Securities Law, 5728—1968, subject to certain conditions (the “Qualified Investors”). The Qualified Investors shall not be taken into account in the count of the Addressed Investors and may be offered to purchase securities in addition to the 35 Addressed Investors. We have not and will not take any action that would require it to publish a prospectus in accordance with and subject to the Israeli Securities Law, 5728—1968. We have not and will not distribute this prospectus or make, distribute, or direct an offer to subscribe for our common stock to any person within the State of Israel, other than to Qualified Investors and up to 35 Addressed Investors.</w:t>
      </w:r>
    </w:p>
    <w:p>
      <w:pPr>
        <w:spacing w:after="0" w:line="148" w:lineRule="exact"/>
        <w:rPr>
          <w:sz w:val="20"/>
          <w:szCs w:val="20"/>
          <w:color w:val="auto"/>
        </w:rPr>
      </w:pPr>
    </w:p>
    <w:p>
      <w:pPr>
        <w:ind w:left="1400" w:right="299" w:firstLine="339"/>
        <w:spacing w:after="0" w:line="251" w:lineRule="auto"/>
        <w:rPr>
          <w:sz w:val="20"/>
          <w:szCs w:val="20"/>
          <w:color w:val="auto"/>
        </w:rPr>
      </w:pPr>
      <w:r>
        <w:rPr>
          <w:rFonts w:ascii="Times New Roman" w:cs="Times New Roman" w:eastAsia="Times New Roman" w:hAnsi="Times New Roman"/>
          <w:sz w:val="14"/>
          <w:szCs w:val="14"/>
          <w:color w:val="auto"/>
        </w:rPr>
        <w:t>Qualified Investors may have to submit written evidence that they meet the definitions set out in of the First Addendum to the Israeli Securities Law, 5728—1968. In particular, we may request, as a condition to be offered common stock, that Qualified Investors will each represent, warrant and certify to us and/or to anyone acting on our behalf: (i) that it is an investor falling within one of the categories listed in the First Addendum to the Israeli Securities Law, 5728—1968; (ii) which of the categories listed in the First Addendum to the Israeli Securities Law, 5728—1968 regarding Qualified Investors is applicable to it; (iii) that it will abide by all provisions set forth in the Israeli Securities Law, 5728—1968 and the regulations promulgated thereunder in connection with the offer to be issued common stock; (iv) that the shares of Class A common stock that it will be issued are, subject to exemptions available under the Israeli Securities Law, 5728—1968: (a) for its own account; (b) for investment purposes only; and (c) not issued with a view to resale within the State of Israel, other than in accordance with the provisions of the Israeli Securities Law, 5728—1968;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70</w:t>
      </w:r>
    </w:p>
    <w:p>
      <w:pPr>
        <w:sectPr>
          <w:pgSz w:w="11900" w:h="16838" w:orient="portrait"/>
          <w:cols w:equalWidth="0" w:num="1">
            <w:col w:w="10159"/>
          </w:cols>
          <w:pgMar w:left="300" w:top="383" w:right="1440"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Japan</w:t>
      </w:r>
    </w:p>
    <w:p>
      <w:pPr>
        <w:spacing w:after="0" w:line="91" w:lineRule="exact"/>
        <w:rPr>
          <w:sz w:val="20"/>
          <w:szCs w:val="20"/>
          <w:color w:val="auto"/>
        </w:rPr>
      </w:pPr>
    </w:p>
    <w:p>
      <w:pPr>
        <w:ind w:left="1400" w:right="319" w:firstLine="339"/>
        <w:spacing w:after="0" w:line="254" w:lineRule="auto"/>
        <w:rPr>
          <w:sz w:val="20"/>
          <w:szCs w:val="20"/>
          <w:color w:val="auto"/>
        </w:rPr>
      </w:pPr>
      <w:r>
        <w:rPr>
          <w:rFonts w:ascii="Times New Roman" w:cs="Times New Roman" w:eastAsia="Times New Roman" w:hAnsi="Times New Roman"/>
          <w:sz w:val="14"/>
          <w:szCs w:val="14"/>
          <w:color w:val="auto"/>
        </w:rPr>
        <w:t>The shares of Class A common stock have not been and will not be registered under the Financial Instruments and Exchange Act of Japan (Act No. 25 of 1948, as amended; the “FIEA”) and no shares of Class A common stock will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FIEA and any other applicable laws, regulations and ministerial guidelines of Japan in effect at the relevant time.</w:t>
      </w:r>
    </w:p>
    <w:p>
      <w:pPr>
        <w:spacing w:after="0" w:line="2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Singapore</w:t>
      </w:r>
    </w:p>
    <w:p>
      <w:pPr>
        <w:spacing w:after="0" w:line="91" w:lineRule="exact"/>
        <w:rPr>
          <w:sz w:val="20"/>
          <w:szCs w:val="20"/>
          <w:color w:val="auto"/>
        </w:rPr>
      </w:pPr>
    </w:p>
    <w:p>
      <w:pPr>
        <w:ind w:left="1400" w:right="279" w:firstLine="339"/>
        <w:spacing w:after="0" w:line="271" w:lineRule="auto"/>
        <w:rPr>
          <w:sz w:val="20"/>
          <w:szCs w:val="20"/>
          <w:color w:val="auto"/>
        </w:rPr>
      </w:pPr>
      <w:r>
        <w:rPr>
          <w:rFonts w:ascii="Times New Roman" w:cs="Times New Roman" w:eastAsia="Times New Roman" w:hAnsi="Times New Roman"/>
          <w:sz w:val="13"/>
          <w:szCs w:val="13"/>
          <w:color w:val="auto"/>
        </w:rPr>
        <w:t>This prospectus has not been registered as a prospectus with the Monetary Authority of Singapore. Accordingly, this prospectus and any other document or material in connection with the offer or sale, or invitation for subscription or purchase, of the shares of Class A common stock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w:t>
      </w:r>
    </w:p>
    <w:p>
      <w:pPr>
        <w:spacing w:after="0" w:line="1" w:lineRule="exact"/>
        <w:rPr>
          <w:sz w:val="20"/>
          <w:szCs w:val="20"/>
          <w:color w:val="auto"/>
        </w:rPr>
      </w:pPr>
    </w:p>
    <w:p>
      <w:pPr>
        <w:ind w:left="1400" w:right="519" w:firstLine="2"/>
        <w:spacing w:after="0" w:line="256" w:lineRule="auto"/>
        <w:tabs>
          <w:tab w:leader="none" w:pos="1643"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otherwise pursuant to, and in accordance with the conditions of, any other applicable provision of the SFA, in each case subject to conditions set forth in the SFA.</w:t>
      </w:r>
    </w:p>
    <w:p>
      <w:pPr>
        <w:spacing w:after="0" w:line="14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Where the shares of Class A common stock are subscribed or purchased under Section 275 of the SFA by a relevant person which is:</w:t>
      </w:r>
    </w:p>
    <w:p>
      <w:pPr>
        <w:spacing w:after="0" w:line="99" w:lineRule="exact"/>
        <w:rPr>
          <w:sz w:val="20"/>
          <w:szCs w:val="20"/>
          <w:color w:val="auto"/>
        </w:rPr>
      </w:pPr>
    </w:p>
    <w:p>
      <w:pPr>
        <w:ind w:left="2160" w:right="359" w:hanging="426"/>
        <w:spacing w:after="0" w:line="278" w:lineRule="auto"/>
        <w:tabs>
          <w:tab w:leader="none" w:pos="21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(which is not an accredited investor (as defined in Section 4A of the SFA)) the sole business of which is to hold investments and the entire share capital of which is owned by one or more individuals, each of whom is an accredited investor,</w:t>
      </w:r>
    </w:p>
    <w:p>
      <w:pPr>
        <w:spacing w:after="0" w:line="53" w:lineRule="exact"/>
        <w:rPr>
          <w:rFonts w:ascii="Times New Roman" w:cs="Times New Roman" w:eastAsia="Times New Roman" w:hAnsi="Times New Roman"/>
          <w:sz w:val="14"/>
          <w:szCs w:val="14"/>
          <w:color w:val="auto"/>
        </w:rPr>
      </w:pPr>
    </w:p>
    <w:p>
      <w:pPr>
        <w:ind w:left="2160" w:right="519" w:hanging="426"/>
        <w:spacing w:after="0" w:line="278" w:lineRule="auto"/>
        <w:tabs>
          <w:tab w:leader="none" w:pos="21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(where the trustee is not an accredited investor) whose sole purpose is to hold investments and each beneficiary of the trust is an individual who is an accredited investor,</w:t>
      </w:r>
    </w:p>
    <w:p>
      <w:pPr>
        <w:spacing w:after="0" w:line="126" w:lineRule="exact"/>
        <w:rPr>
          <w:sz w:val="20"/>
          <w:szCs w:val="20"/>
          <w:color w:val="auto"/>
        </w:rPr>
      </w:pPr>
    </w:p>
    <w:p>
      <w:pPr>
        <w:ind w:left="1400" w:right="299"/>
        <w:spacing w:after="0" w:line="278" w:lineRule="auto"/>
        <w:rPr>
          <w:sz w:val="20"/>
          <w:szCs w:val="20"/>
          <w:color w:val="auto"/>
        </w:rPr>
      </w:pPr>
      <w:r>
        <w:rPr>
          <w:rFonts w:ascii="Times New Roman" w:cs="Times New Roman" w:eastAsia="Times New Roman" w:hAnsi="Times New Roman"/>
          <w:sz w:val="14"/>
          <w:szCs w:val="14"/>
          <w:color w:val="auto"/>
        </w:rPr>
        <w:t>the securities (as defined in Section 239(1) of the SFA) of that corporation shall not be transferable for six months after that corporation has acquired the shares under Section 275 of the SFA except:</w:t>
      </w:r>
    </w:p>
    <w:p>
      <w:pPr>
        <w:spacing w:after="0" w:line="53" w:lineRule="exact"/>
        <w:rPr>
          <w:sz w:val="20"/>
          <w:szCs w:val="20"/>
          <w:color w:val="auto"/>
        </w:rPr>
      </w:pPr>
    </w:p>
    <w:p>
      <w:pPr>
        <w:ind w:left="2160" w:hanging="426"/>
        <w:spacing w:after="0"/>
        <w:tabs>
          <w:tab w:leader="none" w:pos="216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an institutional investor or to a relevant person, or to any person arising from an offer referred to in Section 275(1A) or Section 276(4)(i)</w:t>
      </w:r>
    </w:p>
    <w:p>
      <w:pPr>
        <w:spacing w:after="0" w:line="32" w:lineRule="exact"/>
        <w:rPr>
          <w:rFonts w:ascii="Times New Roman" w:cs="Times New Roman" w:eastAsia="Times New Roman" w:hAnsi="Times New Roman"/>
          <w:sz w:val="13"/>
          <w:szCs w:val="13"/>
          <w:color w:val="auto"/>
        </w:rPr>
      </w:pPr>
    </w:p>
    <w:p>
      <w:pPr>
        <w:ind w:left="216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(B) of the SFA;</w:t>
      </w:r>
    </w:p>
    <w:p>
      <w:pPr>
        <w:spacing w:after="0" w:line="83" w:lineRule="exact"/>
        <w:rPr>
          <w:rFonts w:ascii="Times New Roman" w:cs="Times New Roman" w:eastAsia="Times New Roman" w:hAnsi="Times New Roman"/>
          <w:sz w:val="13"/>
          <w:szCs w:val="13"/>
          <w:color w:val="auto"/>
        </w:rPr>
      </w:pPr>
    </w:p>
    <w:p>
      <w:pPr>
        <w:ind w:left="2160" w:hanging="426"/>
        <w:spacing w:after="0"/>
        <w:tabs>
          <w:tab w:leader="none" w:pos="21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no consideration is or will be given for the transfer;</w:t>
      </w:r>
    </w:p>
    <w:p>
      <w:pPr>
        <w:spacing w:after="0" w:line="98" w:lineRule="exact"/>
        <w:rPr>
          <w:rFonts w:ascii="Times New Roman" w:cs="Times New Roman" w:eastAsia="Times New Roman" w:hAnsi="Times New Roman"/>
          <w:sz w:val="14"/>
          <w:szCs w:val="14"/>
          <w:color w:val="auto"/>
        </w:rPr>
      </w:pPr>
    </w:p>
    <w:p>
      <w:pPr>
        <w:ind w:left="2160" w:hanging="426"/>
        <w:spacing w:after="0"/>
        <w:tabs>
          <w:tab w:leader="none" w:pos="21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the transfer is by operation of law; or</w:t>
      </w:r>
    </w:p>
    <w:p>
      <w:pPr>
        <w:spacing w:after="0" w:line="98" w:lineRule="exact"/>
        <w:rPr>
          <w:rFonts w:ascii="Times New Roman" w:cs="Times New Roman" w:eastAsia="Times New Roman" w:hAnsi="Times New Roman"/>
          <w:sz w:val="14"/>
          <w:szCs w:val="14"/>
          <w:color w:val="auto"/>
        </w:rPr>
      </w:pPr>
    </w:p>
    <w:p>
      <w:pPr>
        <w:ind w:left="2160" w:hanging="426"/>
        <w:spacing w:after="0"/>
        <w:tabs>
          <w:tab w:leader="none" w:pos="21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specified in Section 276(7) of the SFA, or</w:t>
      </w:r>
    </w:p>
    <w:p>
      <w:pPr>
        <w:spacing w:after="0" w:line="170" w:lineRule="exact"/>
        <w:rPr>
          <w:sz w:val="20"/>
          <w:szCs w:val="20"/>
          <w:color w:val="auto"/>
        </w:rPr>
      </w:pPr>
    </w:p>
    <w:p>
      <w:pPr>
        <w:ind w:left="1400" w:right="379" w:firstLine="339"/>
        <w:spacing w:after="0" w:line="256" w:lineRule="auto"/>
        <w:rPr>
          <w:sz w:val="20"/>
          <w:szCs w:val="20"/>
          <w:color w:val="auto"/>
        </w:rPr>
      </w:pPr>
      <w:r>
        <w:rPr>
          <w:rFonts w:ascii="Times New Roman" w:cs="Times New Roman" w:eastAsia="Times New Roman" w:hAnsi="Times New Roman"/>
          <w:sz w:val="14"/>
          <w:szCs w:val="14"/>
          <w:i w:val="1"/>
          <w:iCs w:val="1"/>
          <w:color w:val="auto"/>
        </w:rPr>
        <w:t>Singapore Securities and Futures Act Product Classification</w:t>
      </w:r>
      <w:r>
        <w:rPr>
          <w:rFonts w:ascii="Times New Roman" w:cs="Times New Roman" w:eastAsia="Times New Roman" w:hAnsi="Times New Roman"/>
          <w:sz w:val="14"/>
          <w:szCs w:val="14"/>
          <w:color w:val="auto"/>
        </w:rPr>
        <w:t>—Solely for the purposes of its obligations pursuant to Sections 309B(1)(a)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309B(1)(c) of the SFA, we have determined, and hereby notify all relevant persons (as defined in Section 309A of the SFA) that the shares of Class A common stock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United Arab Emirates</w:t>
      </w:r>
    </w:p>
    <w:p>
      <w:pPr>
        <w:spacing w:after="0" w:line="91" w:lineRule="exact"/>
        <w:rPr>
          <w:sz w:val="20"/>
          <w:szCs w:val="20"/>
          <w:color w:val="auto"/>
        </w:rPr>
      </w:pPr>
    </w:p>
    <w:p>
      <w:pPr>
        <w:ind w:left="1400" w:right="459" w:firstLine="339"/>
        <w:spacing w:after="0" w:line="278" w:lineRule="auto"/>
        <w:rPr>
          <w:sz w:val="20"/>
          <w:szCs w:val="20"/>
          <w:color w:val="auto"/>
        </w:rPr>
      </w:pPr>
      <w:r>
        <w:rPr>
          <w:rFonts w:ascii="Times New Roman" w:cs="Times New Roman" w:eastAsia="Times New Roman" w:hAnsi="Times New Roman"/>
          <w:sz w:val="14"/>
          <w:szCs w:val="14"/>
          <w:color w:val="auto"/>
        </w:rPr>
        <w:t>The shares of Class A common stock have not been, and will not be, publicly offered, sold, promoted or advertised in the United Arab Emirates (including the Dubai International Financial Center) other than in compliance</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71</w:t>
      </w:r>
    </w:p>
    <w:p>
      <w:pPr>
        <w:sectPr>
          <w:pgSz w:w="11900" w:h="16838" w:orient="portrait"/>
          <w:cols w:equalWidth="0" w:num="1">
            <w:col w:w="10159"/>
          </w:cols>
          <w:pgMar w:left="300" w:top="383" w:right="1440"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79"/>
        <w:spacing w:after="0" w:line="258" w:lineRule="auto"/>
        <w:rPr>
          <w:sz w:val="20"/>
          <w:szCs w:val="20"/>
          <w:color w:val="auto"/>
        </w:rPr>
      </w:pPr>
      <w:r>
        <w:rPr>
          <w:rFonts w:ascii="Times New Roman" w:cs="Times New Roman" w:eastAsia="Times New Roman" w:hAnsi="Times New Roman"/>
          <w:sz w:val="14"/>
          <w:szCs w:val="14"/>
          <w:color w:val="auto"/>
        </w:rPr>
        <w:t>with the laws of the United Arab Emirates (and the Dubai International Financial Center) governing the issue, offering and sale of securities. Further, this prospectus does not constitute a public offer of securities in the United Arab Emirates (including the Dubai International Financial Center) and is not intended to be a public offer. This prospectus has not been approved by or filed with the Central Bank of the United Arab Emirates, the Securities and Commodities Authority, Financial Services Regulatory Authority, or the Dubai Financial Services Authority.</w:t>
      </w:r>
    </w:p>
    <w:p>
      <w:pPr>
        <w:spacing w:after="0" w:line="2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Brazil</w:t>
      </w:r>
    </w:p>
    <w:p>
      <w:pPr>
        <w:spacing w:after="0" w:line="91" w:lineRule="exact"/>
        <w:rPr>
          <w:sz w:val="20"/>
          <w:szCs w:val="20"/>
          <w:color w:val="auto"/>
        </w:rPr>
      </w:pPr>
    </w:p>
    <w:p>
      <w:pPr>
        <w:ind w:left="1400" w:right="299" w:firstLine="339"/>
        <w:spacing w:after="0" w:line="251" w:lineRule="auto"/>
        <w:rPr>
          <w:sz w:val="20"/>
          <w:szCs w:val="20"/>
          <w:color w:val="auto"/>
        </w:rPr>
      </w:pPr>
      <w:r>
        <w:rPr>
          <w:rFonts w:ascii="Times New Roman" w:cs="Times New Roman" w:eastAsia="Times New Roman" w:hAnsi="Times New Roman"/>
          <w:sz w:val="14"/>
          <w:szCs w:val="14"/>
          <w:color w:val="auto"/>
        </w:rPr>
        <w:t>THE OFFER AND SALE OF THE SHARES OF CLASS A COMMON STOCK HAVE NOT BEEN AND WILL NOT BE REGISTERED WITH THE BRAZILIAN SECURITIES COMMISSION (COMISSÃO DE VALORES MOBILIÁRIOS, OR “CVM”) AND, THEREFORE, WILL NOT BE CARRIED OUT BY ANY MEANS THAT WOULD CONSTITUTE A PUBLIC OFFERING IN BRAZIL UNDER CVM RESOLUTION NO 160, DATED 13 JULY 2022, AS AMENDED (“CVM RESOLUTION 160”) OR UNAUTHORIZED DISTRIBUTION UNDER BRAZILIAN LAWS AND REGULATIONS. THE SHARES OF CLASS A COMMON STOCK WILL BE AUTHORIZED FOR TRADING ON ORGANIZED NON-BRAZILIAN SECURITIES MARKETS AND MAY ONLY BE OFFERED TO BRAZILIAN PROFESSIONAL INVESTORS (AS DEFINED BY APPLICABLE CVM REGULATION), WHO MAY ONLY ACQUIRE THE SHARES OF CLASS A COMMON STOCK THROUGH A NON-BRAZILIAN ACCOUNT, WITH SETTLEMENT OUTSIDE BRAZIL IN NON-BRAZILIAN CURRENCY. THE TRADING OF THESE SECURITIES ON REGULATED SECURITIES MARKETS IN BRAZIL IS PROHIBITED.</w:t>
      </w:r>
    </w:p>
    <w:p>
      <w:pPr>
        <w:spacing w:after="0" w:line="23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Saudi Arabia</w:t>
      </w:r>
    </w:p>
    <w:p>
      <w:pPr>
        <w:spacing w:after="0" w:line="91" w:lineRule="exact"/>
        <w:rPr>
          <w:sz w:val="20"/>
          <w:szCs w:val="20"/>
          <w:color w:val="auto"/>
        </w:rPr>
      </w:pPr>
    </w:p>
    <w:p>
      <w:pPr>
        <w:ind w:left="1400" w:right="319" w:firstLine="339"/>
        <w:spacing w:after="0" w:line="254" w:lineRule="auto"/>
        <w:rPr>
          <w:sz w:val="20"/>
          <w:szCs w:val="20"/>
          <w:color w:val="auto"/>
        </w:rPr>
      </w:pPr>
      <w:r>
        <w:rPr>
          <w:rFonts w:ascii="Times New Roman" w:cs="Times New Roman" w:eastAsia="Times New Roman" w:hAnsi="Times New Roman"/>
          <w:sz w:val="14"/>
          <w:szCs w:val="14"/>
          <w:color w:val="auto"/>
        </w:rPr>
        <w:t>This document may not be distributed in the Kingdom of Saudi Arabia except to such persons as are permitted under the Rules on the Offer of Securities and Continuing Obligations Regulations as issued by the board of the Saudi Arabian Capital Market Authority (“CMA”) pursuant to resolution number 3-123-2017 dated 27 December 2017, as amended (the “CMA Regulations”).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authorised financial adviser.</w:t>
      </w:r>
    </w:p>
    <w:p>
      <w:pPr>
        <w:spacing w:after="0" w:line="2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Qatar</w:t>
      </w:r>
    </w:p>
    <w:p>
      <w:pPr>
        <w:spacing w:after="0" w:line="91" w:lineRule="exact"/>
        <w:rPr>
          <w:sz w:val="20"/>
          <w:szCs w:val="20"/>
          <w:color w:val="auto"/>
        </w:rPr>
      </w:pPr>
    </w:p>
    <w:p>
      <w:pPr>
        <w:ind w:left="1400" w:right="299" w:firstLine="339"/>
        <w:spacing w:after="0" w:line="255" w:lineRule="auto"/>
        <w:rPr>
          <w:sz w:val="20"/>
          <w:szCs w:val="20"/>
          <w:color w:val="auto"/>
        </w:rPr>
      </w:pPr>
      <w:r>
        <w:rPr>
          <w:rFonts w:ascii="Times New Roman" w:cs="Times New Roman" w:eastAsia="Times New Roman" w:hAnsi="Times New Roman"/>
          <w:sz w:val="14"/>
          <w:szCs w:val="14"/>
          <w:color w:val="auto"/>
        </w:rPr>
        <w:t>The shares of Class A common stock described in this prospectus have not been, and will not be, offered, sold or delivered, at any time, directly or indirectly in the State of Qatar in a manner that would constitute a public offering. This prospectus has not been, and will not be, registered with or approved by the Qatar Financial Markets Authority or Qatar Central Bank and may not be publicly distributed. This prospectus is intended for the original recipient only and must not be provided to any other person. It is not for general circulation in the State of Qatar and may not be reproduced or used for any other purpose.</w:t>
      </w:r>
    </w:p>
    <w:p>
      <w:pPr>
        <w:spacing w:after="0" w:line="2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Kuwait</w:t>
      </w:r>
    </w:p>
    <w:p>
      <w:pPr>
        <w:spacing w:after="0" w:line="91" w:lineRule="exact"/>
        <w:rPr>
          <w:sz w:val="20"/>
          <w:szCs w:val="20"/>
          <w:color w:val="auto"/>
        </w:rPr>
      </w:pPr>
    </w:p>
    <w:p>
      <w:pPr>
        <w:ind w:left="1400" w:right="279" w:firstLine="339"/>
        <w:spacing w:after="0" w:line="254" w:lineRule="auto"/>
        <w:rPr>
          <w:sz w:val="20"/>
          <w:szCs w:val="20"/>
          <w:color w:val="auto"/>
        </w:rPr>
      </w:pPr>
      <w:r>
        <w:rPr>
          <w:rFonts w:ascii="Times New Roman" w:cs="Times New Roman" w:eastAsia="Times New Roman" w:hAnsi="Times New Roman"/>
          <w:sz w:val="14"/>
          <w:szCs w:val="14"/>
          <w:color w:val="auto"/>
        </w:rPr>
        <w:t>Unless all necessary approvals from the Kuwait Capital Markets Authority pursuant to Law No. 7/2010, its Executive Regulations and the various Resolutions and Announcements issued pursuant thereto or in connection therewith have been given in relation to the marketing of and sale of the shares of Class A common stock, the shares of Class A common stock may not be offered for sale, nor sold in the State of Kuwait (“Kuwait”). Neither this prospectus nor any of the information contained herein is intended to lead to the conclusion of any contract of whatsoever nature within Kuwait. With regard to the contents of this document, we recommend that you consult a licensee as per the law and specialized in giving advice about the purchase of the shares of Class A common stock and other securities before making the subscription decision.</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72</w:t>
      </w:r>
    </w:p>
    <w:p>
      <w:pPr>
        <w:sectPr>
          <w:pgSz w:w="11900" w:h="16838" w:orient="portrait"/>
          <w:cols w:equalWidth="0" w:num="1">
            <w:col w:w="10159"/>
          </w:cols>
          <w:pgMar w:left="300" w:top="383" w:right="1440"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Bermuda</w:t>
      </w:r>
    </w:p>
    <w:p>
      <w:pPr>
        <w:spacing w:after="0" w:line="9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3"/>
          <w:szCs w:val="13"/>
          <w:color w:val="auto"/>
        </w:rPr>
        <w:t>The shares of Class A common stock may be offered or sold in Bermuda only in compliance with the provisions of the Investment Business Act of</w:t>
      </w:r>
    </w:p>
    <w:p>
      <w:pPr>
        <w:spacing w:after="0" w:line="32" w:lineRule="exact"/>
        <w:rPr>
          <w:sz w:val="20"/>
          <w:szCs w:val="20"/>
          <w:color w:val="auto"/>
        </w:rPr>
      </w:pPr>
    </w:p>
    <w:p>
      <w:pPr>
        <w:ind w:left="1400" w:right="459"/>
        <w:spacing w:after="0" w:line="256" w:lineRule="auto"/>
        <w:rPr>
          <w:sz w:val="20"/>
          <w:szCs w:val="20"/>
          <w:color w:val="auto"/>
        </w:rPr>
      </w:pPr>
      <w:r>
        <w:rPr>
          <w:rFonts w:ascii="Times New Roman" w:cs="Times New Roman" w:eastAsia="Times New Roman" w:hAnsi="Times New Roman"/>
          <w:sz w:val="14"/>
          <w:szCs w:val="14"/>
          <w:color w:val="auto"/>
        </w:rPr>
        <w:t>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22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British Virgin Islands</w:t>
      </w:r>
    </w:p>
    <w:p>
      <w:pPr>
        <w:spacing w:after="0" w:line="91" w:lineRule="exact"/>
        <w:rPr>
          <w:sz w:val="20"/>
          <w:szCs w:val="20"/>
          <w:color w:val="auto"/>
        </w:rPr>
      </w:pPr>
    </w:p>
    <w:p>
      <w:pPr>
        <w:ind w:left="1400" w:right="299" w:firstLine="339"/>
        <w:spacing w:after="0" w:line="258" w:lineRule="auto"/>
        <w:rPr>
          <w:sz w:val="20"/>
          <w:szCs w:val="20"/>
          <w:color w:val="auto"/>
        </w:rPr>
      </w:pPr>
      <w:r>
        <w:rPr>
          <w:rFonts w:ascii="Times New Roman" w:cs="Times New Roman" w:eastAsia="Times New Roman" w:hAnsi="Times New Roman"/>
          <w:sz w:val="14"/>
          <w:szCs w:val="14"/>
          <w:color w:val="auto"/>
        </w:rPr>
        <w:t>The shares of Class A common stock are not being, and may not be offered to the public or to any person in the British Virgin Islands for purchase or subscription by or on our behalf. The shares of Class A common stock may be offered to companies incorporated under the BVI Business Companies Act, 2004 (British Virgin Islands) (“BVI Companies”), but only where the offer will be made to, and received by, the relevant BVI Company entirely outside of the British Virgin Islands.</w:t>
      </w:r>
    </w:p>
    <w:p>
      <w:pPr>
        <w:spacing w:after="0" w:line="2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China</w:t>
      </w:r>
    </w:p>
    <w:p>
      <w:pPr>
        <w:spacing w:after="0" w:line="91" w:lineRule="exact"/>
        <w:rPr>
          <w:sz w:val="20"/>
          <w:szCs w:val="20"/>
          <w:color w:val="auto"/>
        </w:rPr>
      </w:pPr>
    </w:p>
    <w:p>
      <w:pPr>
        <w:ind w:left="1400" w:right="399" w:firstLine="339"/>
        <w:spacing w:after="0" w:line="255" w:lineRule="auto"/>
        <w:rPr>
          <w:sz w:val="20"/>
          <w:szCs w:val="20"/>
          <w:color w:val="auto"/>
        </w:rPr>
      </w:pPr>
      <w:r>
        <w:rPr>
          <w:rFonts w:ascii="Times New Roman" w:cs="Times New Roman" w:eastAsia="Times New Roman" w:hAnsi="Times New Roman"/>
          <w:sz w:val="14"/>
          <w:szCs w:val="14"/>
          <w:color w:val="auto"/>
        </w:rPr>
        <w:t>This prospectus will not be circulated or distributed in the People’s Republic of China (“PRC”) and the shares of Class A common stock will not be offered or sold, and will not be offered or sold to any person for re-offering or resale directly or indirectly to any residents of the PRC (for such purposes, not including the Hong Kong and Macau Special Administrative Regions or Taiwan), except pursuant to any applicable laws and regulations of the PRC. Neither this prospectus nor any advertisement or other offering material may be distributed or published in the PRC, except under circumstances that will result in compliance with applicable laws and regulations.</w:t>
      </w:r>
    </w:p>
    <w:p>
      <w:pPr>
        <w:spacing w:after="0" w:line="2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Korea</w:t>
      </w:r>
    </w:p>
    <w:p>
      <w:pPr>
        <w:spacing w:after="0" w:line="91" w:lineRule="exact"/>
        <w:rPr>
          <w:sz w:val="20"/>
          <w:szCs w:val="20"/>
          <w:color w:val="auto"/>
        </w:rPr>
      </w:pPr>
    </w:p>
    <w:p>
      <w:pPr>
        <w:ind w:left="1400" w:right="299" w:firstLine="339"/>
        <w:spacing w:after="0" w:line="251" w:lineRule="auto"/>
        <w:rPr>
          <w:sz w:val="20"/>
          <w:szCs w:val="20"/>
          <w:color w:val="auto"/>
        </w:rPr>
      </w:pPr>
      <w:r>
        <w:rPr>
          <w:rFonts w:ascii="Times New Roman" w:cs="Times New Roman" w:eastAsia="Times New Roman" w:hAnsi="Times New Roman"/>
          <w:sz w:val="14"/>
          <w:szCs w:val="14"/>
          <w:color w:val="auto"/>
        </w:rPr>
        <w:t>The shares of Class A common stock have not been and will not be registered under the Financial Investments Services and Capital Markets Act of Korea and the decrees and regulations thereunder (the “FSCMA”), and the shares of Class A common stock have been and will be offered in Korea as a private placement under the FSCMA. None of the shares of Class A common stock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(the “FETL”). The shares of Class A common stock have not been listed on any of securities exchanges in the world including, without limitation, the Korea Exchange in Korea. Furthermore, the purchaser of the shares of Class A common stock shall comply with all applicable regulatory requirements (including but not limited to requirements under the FETL) in connection with the purchase of the shares of Class A common stock. By the purchase of the shares of Class A common stock, the relevant holder thereof will be deemed to represent and warrant that if it is in Korea or is a resident of Korea, it purchased the shares of Class A common stock pursuant to the applicable laws and regulations of Korea.</w:t>
      </w:r>
    </w:p>
    <w:p>
      <w:pPr>
        <w:spacing w:after="0" w:line="22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Malaysia</w:t>
      </w:r>
    </w:p>
    <w:p>
      <w:pPr>
        <w:spacing w:after="0" w:line="91" w:lineRule="exact"/>
        <w:rPr>
          <w:sz w:val="20"/>
          <w:szCs w:val="20"/>
          <w:color w:val="auto"/>
        </w:rPr>
      </w:pPr>
    </w:p>
    <w:p>
      <w:pPr>
        <w:ind w:left="1400" w:right="279" w:firstLine="339"/>
        <w:spacing w:after="0" w:line="253" w:lineRule="auto"/>
        <w:rPr>
          <w:sz w:val="20"/>
          <w:szCs w:val="20"/>
          <w:color w:val="auto"/>
        </w:rPr>
      </w:pPr>
      <w:r>
        <w:rPr>
          <w:rFonts w:ascii="Times New Roman" w:cs="Times New Roman" w:eastAsia="Times New Roman" w:hAnsi="Times New Roman"/>
          <w:sz w:val="14"/>
          <w:szCs w:val="14"/>
          <w:color w:val="auto"/>
        </w:rPr>
        <w:t>No prospectus or other offering material or document in connection with the offer and sale of the shares of Class A common stock has been or will be registered with the Securities Commission of Malaysia (“Commission”) for the Commission’s approval pursuant to the Capital Markets and Services Act 2007. Accordingly, this prospectus and any other document or material in connection with the offer or sale, or invitation for subscription or purchase, of the shares of Class A common stock may not be circulated or distributed, nor may the shares of Class A common stock be offered or sold, or be made the subject of an invitation for subscription or purchase, whether directly or indirectly, to persons in Malaysia other than (i) a closed end fund approved by the Commission; (ii) a holder of a Capital Markets Services Licence; (iii) a person who acquires the shares of Class A common stock, as principal, if the offer is on terms that the shares of Class A</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73</w:t>
      </w:r>
    </w:p>
    <w:p>
      <w:pPr>
        <w:sectPr>
          <w:pgSz w:w="11900" w:h="16838" w:orient="portrait"/>
          <w:cols w:equalWidth="0" w:num="1">
            <w:col w:w="10159"/>
          </w:cols>
          <w:pgMar w:left="300" w:top="383" w:right="1440"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99"/>
        <w:spacing w:after="0" w:line="271" w:lineRule="auto"/>
        <w:rPr>
          <w:sz w:val="20"/>
          <w:szCs w:val="20"/>
          <w:color w:val="auto"/>
        </w:rPr>
      </w:pPr>
      <w:r>
        <w:rPr>
          <w:rFonts w:ascii="Times New Roman" w:cs="Times New Roman" w:eastAsia="Times New Roman" w:hAnsi="Times New Roman"/>
          <w:sz w:val="13"/>
          <w:szCs w:val="13"/>
          <w:color w:val="auto"/>
        </w:rPr>
        <w:t>common stock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 (viii) a partnership with total net assets exceeding</w:t>
      </w:r>
    </w:p>
    <w:p>
      <w:pPr>
        <w:spacing w:after="0" w:line="1" w:lineRule="exact"/>
        <w:rPr>
          <w:sz w:val="20"/>
          <w:szCs w:val="20"/>
          <w:color w:val="auto"/>
        </w:rPr>
      </w:pPr>
    </w:p>
    <w:p>
      <w:pPr>
        <w:ind w:left="1400" w:right="279"/>
        <w:spacing w:after="0" w:line="249" w:lineRule="auto"/>
        <w:rPr>
          <w:sz w:val="20"/>
          <w:szCs w:val="20"/>
          <w:color w:val="auto"/>
        </w:rPr>
      </w:pPr>
      <w:r>
        <w:rPr>
          <w:rFonts w:ascii="Times New Roman" w:cs="Times New Roman" w:eastAsia="Times New Roman" w:hAnsi="Times New Roman"/>
          <w:sz w:val="14"/>
          <w:szCs w:val="14"/>
          <w:color w:val="auto"/>
        </w:rPr>
        <w:t>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shares of Class A common stock is made by a holder of a Capital Markets Services Licence who carries on the business of dealing in securities. The distribution in Malaysia of this prospectus is subject to Malaysian laws. This prospectus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22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Taiwan</w:t>
      </w:r>
    </w:p>
    <w:p>
      <w:pPr>
        <w:spacing w:after="0" w:line="91" w:lineRule="exact"/>
        <w:rPr>
          <w:sz w:val="20"/>
          <w:szCs w:val="20"/>
          <w:color w:val="auto"/>
        </w:rPr>
      </w:pPr>
    </w:p>
    <w:p>
      <w:pPr>
        <w:ind w:left="1400" w:right="279" w:firstLine="339"/>
        <w:spacing w:after="0" w:line="255" w:lineRule="auto"/>
        <w:rPr>
          <w:sz w:val="20"/>
          <w:szCs w:val="20"/>
          <w:color w:val="auto"/>
        </w:rPr>
      </w:pPr>
      <w:r>
        <w:rPr>
          <w:rFonts w:ascii="Times New Roman" w:cs="Times New Roman" w:eastAsia="Times New Roman" w:hAnsi="Times New Roman"/>
          <w:sz w:val="14"/>
          <w:szCs w:val="14"/>
          <w:color w:val="auto"/>
        </w:rPr>
        <w:t>The shares of Class A common stock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authorised to offer, sell, give advice regarding or otherwise intermediate the offering and sale of the shares of Class A common stock in Taiwan.</w:t>
      </w:r>
    </w:p>
    <w:p>
      <w:pPr>
        <w:spacing w:after="0" w:line="2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South Africa</w:t>
      </w:r>
    </w:p>
    <w:p>
      <w:pPr>
        <w:spacing w:after="0" w:line="91" w:lineRule="exact"/>
        <w:rPr>
          <w:sz w:val="20"/>
          <w:szCs w:val="20"/>
          <w:color w:val="auto"/>
        </w:rPr>
      </w:pPr>
    </w:p>
    <w:p>
      <w:pPr>
        <w:ind w:left="1400" w:right="299" w:firstLine="339"/>
        <w:spacing w:after="0" w:line="253" w:lineRule="auto"/>
        <w:rPr>
          <w:sz w:val="20"/>
          <w:szCs w:val="20"/>
          <w:color w:val="auto"/>
        </w:rPr>
      </w:pPr>
      <w:r>
        <w:rPr>
          <w:rFonts w:ascii="Times New Roman" w:cs="Times New Roman" w:eastAsia="Times New Roman" w:hAnsi="Times New Roman"/>
          <w:sz w:val="14"/>
          <w:szCs w:val="14"/>
          <w:color w:val="auto"/>
        </w:rPr>
        <w:t>Due to restrictions under the securities laws of South Africa, no “offer to the public” (as such term is defined in the South African Companies Act, No. 71 of 2008 (as amended or re-enacted) (the “South African Companies Act”) is being made in connection with the issue of the shares of Class A common stock in South Africa. Accordingly, this document does not, nor is it intended to, constitute a “registered prospectus”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The shares of Class A common stock are not offered, and the offer shall not be transferred, sold, renounced or delivered, in South Africa or to a person with an address in South Africa, unless one or other of the following exemptions stipulated in section 96 (1) applies:</w:t>
      </w:r>
    </w:p>
    <w:p>
      <w:pPr>
        <w:spacing w:after="0" w:line="164" w:lineRule="exact"/>
        <w:rPr>
          <w:sz w:val="20"/>
          <w:szCs w:val="20"/>
          <w:color w:val="auto"/>
        </w:rPr>
      </w:pPr>
    </w:p>
    <w:p>
      <w:pPr>
        <w:ind w:left="1400"/>
        <w:spacing w:after="0"/>
        <w:tabs>
          <w:tab w:leader="none" w:pos="2820" w:val="left"/>
        </w:tabs>
        <w:rPr>
          <w:sz w:val="20"/>
          <w:szCs w:val="20"/>
          <w:color w:val="auto"/>
        </w:rPr>
      </w:pPr>
      <w:r>
        <w:rPr>
          <w:rFonts w:ascii="Times New Roman" w:cs="Times New Roman" w:eastAsia="Times New Roman" w:hAnsi="Times New Roman"/>
          <w:sz w:val="14"/>
          <w:szCs w:val="14"/>
          <w:color w:val="auto"/>
        </w:rPr>
        <w:t>Section 96(1) (a)</w:t>
      </w:r>
      <w:r>
        <w:rPr>
          <w:sz w:val="20"/>
          <w:szCs w:val="20"/>
          <w:color w:val="auto"/>
        </w:rPr>
        <w:tab/>
      </w:r>
      <w:r>
        <w:rPr>
          <w:rFonts w:ascii="Times New Roman" w:cs="Times New Roman" w:eastAsia="Times New Roman" w:hAnsi="Times New Roman"/>
          <w:sz w:val="13"/>
          <w:szCs w:val="13"/>
          <w:color w:val="auto"/>
        </w:rPr>
        <w:t>the offer, transfer, sale, renunciation or delivery is to:</w:t>
      </w:r>
    </w:p>
    <w:p>
      <w:pPr>
        <w:spacing w:after="0" w:line="9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4"/>
          <w:szCs w:val="14"/>
          <w:color w:val="auto"/>
        </w:rPr>
        <w:t>(i)   persons whose ordinary business, or part of whose ordinary business, is to deal in securities, as principal or agent;</w:t>
      </w:r>
    </w:p>
    <w:p>
      <w:pPr>
        <w:spacing w:after="0" w:line="9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4"/>
          <w:szCs w:val="14"/>
          <w:color w:val="auto"/>
        </w:rPr>
        <w:t>(ii)   the South African Public Investment Corporation;</w:t>
      </w:r>
    </w:p>
    <w:p>
      <w:pPr>
        <w:spacing w:after="0" w:line="9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4"/>
          <w:szCs w:val="14"/>
          <w:color w:val="auto"/>
        </w:rPr>
        <w:t>(iii)  persons or entities regulated by the Reserve Bank of South Africa;</w:t>
      </w:r>
    </w:p>
    <w:p>
      <w:pPr>
        <w:spacing w:after="0" w:line="9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4"/>
          <w:szCs w:val="14"/>
          <w:color w:val="auto"/>
        </w:rPr>
        <w:t>(iv)  authorised financial service providers under South African law;</w:t>
      </w:r>
    </w:p>
    <w:p>
      <w:pPr>
        <w:spacing w:after="0" w:line="9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4"/>
          <w:szCs w:val="14"/>
          <w:color w:val="auto"/>
        </w:rPr>
        <w:t>(v)    financial institutions recognised as such under South African law;</w:t>
      </w:r>
    </w:p>
    <w:p>
      <w:pPr>
        <w:spacing w:after="0" w:line="99" w:lineRule="exact"/>
        <w:rPr>
          <w:sz w:val="20"/>
          <w:szCs w:val="20"/>
          <w:color w:val="auto"/>
        </w:rPr>
      </w:pPr>
    </w:p>
    <w:p>
      <w:pPr>
        <w:jc w:val="both"/>
        <w:ind w:left="3120" w:right="519" w:hanging="276"/>
        <w:spacing w:after="0" w:line="263" w:lineRule="auto"/>
        <w:rPr>
          <w:sz w:val="20"/>
          <w:szCs w:val="20"/>
          <w:color w:val="auto"/>
        </w:rPr>
      </w:pPr>
      <w:r>
        <w:rPr>
          <w:rFonts w:ascii="Times New Roman" w:cs="Times New Roman" w:eastAsia="Times New Roman" w:hAnsi="Times New Roman"/>
          <w:sz w:val="14"/>
          <w:szCs w:val="14"/>
          <w:color w:val="auto"/>
        </w:rPr>
        <w:t>(vi)  a wholly-owned subsidiary of any person or entity contemplated in (c), (d) or (e), acting as agent in the capacity of an authorised portfolio manager for a pension fund, or as manager for a collective investment scheme (in each case duly registered as such under South African law); or</w:t>
      </w:r>
    </w:p>
    <w:p>
      <w:pPr>
        <w:spacing w:after="0" w:line="63"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4"/>
          <w:szCs w:val="14"/>
          <w:color w:val="auto"/>
        </w:rPr>
        <w:t>(vii) any combination of the person in (i) to (vi); or</w:t>
      </w:r>
    </w:p>
    <w:p>
      <w:pPr>
        <w:spacing w:after="0" w:line="130"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4"/>
          <w:szCs w:val="14"/>
          <w:color w:val="auto"/>
        </w:rPr>
        <w:t>74</w:t>
      </w:r>
    </w:p>
    <w:p>
      <w:pPr>
        <w:sectPr>
          <w:pgSz w:w="11900" w:h="16838" w:orient="portrait"/>
          <w:cols w:equalWidth="0" w:num="1">
            <w:col w:w="10159"/>
          </w:cols>
          <w:pgMar w:left="300" w:top="383" w:right="1440"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ectPr>
          <w:pgSz w:w="11900" w:h="16838" w:orient="portrait"/>
          <w:cols w:equalWidth="0" w:num="1">
            <w:col w:w="10159"/>
          </w:cols>
          <w:pgMar w:left="300" w:top="383" w:right="1440" w:bottom="1440" w:gutter="0" w:footer="0" w:header="0"/>
        </w:sectPr>
      </w:pPr>
    </w:p>
    <w:p>
      <w:pPr>
        <w:spacing w:after="0" w:line="25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Section 96(1) (b)</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jc w:val="both"/>
        <w:ind w:right="359"/>
        <w:spacing w:after="0" w:line="263" w:lineRule="auto"/>
        <w:rPr>
          <w:sz w:val="20"/>
          <w:szCs w:val="20"/>
          <w:color w:val="auto"/>
        </w:rPr>
      </w:pPr>
      <w:r>
        <w:rPr>
          <w:rFonts w:ascii="Times New Roman" w:cs="Times New Roman" w:eastAsia="Times New Roman" w:hAnsi="Times New Roman"/>
          <w:sz w:val="14"/>
          <w:szCs w:val="14"/>
          <w:color w:val="auto"/>
        </w:rPr>
        <w:t>the total contemplated acquisition cost of the securities, for any single addressee acting as principal is equal to or greater than ZAR1,000,000 or such higher amount as may be promulgated by notice in the Government Gazette of South Africa pursuant to section 96(2)(a) of the South African Companies Act.</w:t>
      </w:r>
    </w:p>
    <w:p>
      <w:pPr>
        <w:spacing w:after="0" w:line="136" w:lineRule="exact"/>
        <w:rPr>
          <w:sz w:val="20"/>
          <w:szCs w:val="20"/>
          <w:color w:val="auto"/>
        </w:rPr>
      </w:pPr>
    </w:p>
    <w:p>
      <w:pPr>
        <w:sectPr>
          <w:pgSz w:w="11900" w:h="16838" w:orient="portrait"/>
          <w:cols w:equalWidth="0" w:num="2">
            <w:col w:w="2340" w:space="500"/>
            <w:col w:w="7319"/>
          </w:cols>
          <w:pgMar w:left="300" w:top="383" w:right="1440" w:bottom="1440" w:gutter="0" w:footer="0" w:header="0"/>
          <w:type w:val="continuous"/>
        </w:sectPr>
      </w:pPr>
    </w:p>
    <w:p>
      <w:pPr>
        <w:ind w:left="1400" w:right="699" w:firstLine="339"/>
        <w:spacing w:after="0" w:line="278" w:lineRule="auto"/>
        <w:rPr>
          <w:sz w:val="20"/>
          <w:szCs w:val="20"/>
          <w:color w:val="auto"/>
        </w:rPr>
      </w:pPr>
      <w:r>
        <w:rPr>
          <w:rFonts w:ascii="Times New Roman" w:cs="Times New Roman" w:eastAsia="Times New Roman" w:hAnsi="Times New Roman"/>
          <w:sz w:val="14"/>
          <w:szCs w:val="14"/>
          <w:color w:val="auto"/>
        </w:rPr>
        <w:t>Information made available in this prospectus should not be considered as “advice” as defined in the South African Financial Advisory and Intermediary Services Act, 2002.</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75</w:t>
      </w:r>
    </w:p>
    <w:p>
      <w:pPr>
        <w:sectPr>
          <w:pgSz w:w="11900" w:h="16838" w:orient="portrait"/>
          <w:cols w:equalWidth="0" w:num="1">
            <w:col w:w="10159"/>
          </w:cols>
          <w:pgMar w:left="300" w:top="383" w:right="1440"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4" w:lineRule="exact"/>
        <w:rPr>
          <w:sz w:val="20"/>
          <w:szCs w:val="20"/>
          <w:color w:val="auto"/>
        </w:rPr>
      </w:pPr>
    </w:p>
    <w:p>
      <w:pPr>
        <w:ind w:left="1400" w:right="519" w:firstLine="339"/>
        <w:spacing w:after="0" w:line="258" w:lineRule="auto"/>
        <w:rPr>
          <w:sz w:val="20"/>
          <w:szCs w:val="20"/>
          <w:color w:val="auto"/>
        </w:rPr>
      </w:pPr>
      <w:r>
        <w:rPr>
          <w:rFonts w:ascii="Times New Roman" w:cs="Times New Roman" w:eastAsia="Times New Roman" w:hAnsi="Times New Roman"/>
          <w:sz w:val="14"/>
          <w:szCs w:val="14"/>
          <w:color w:val="auto"/>
        </w:rPr>
        <w:t>The validity of the shares of Class A common stock will be passed upon for us by Simpson Thacher &amp; Bartlett LLP, Washington, D.C. Certain legal matters in connection with this offering will be passed upon for the underwriters by Latham &amp; Watkins LLP, Washington, D.C. An investment vehicle comprised of selected partners of Simpson Thacher &amp; Bartlett LLP, members of their families, related persons, and others owns an interest representing less than 1% of the capital commitments of certain investment funds affiliated with Blackstone, Carlyle, and H&amp;F.</w:t>
      </w:r>
    </w:p>
    <w:p>
      <w:pPr>
        <w:spacing w:after="0" w:line="3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4" w:lineRule="exact"/>
        <w:rPr>
          <w:sz w:val="20"/>
          <w:szCs w:val="20"/>
          <w:color w:val="auto"/>
        </w:rPr>
      </w:pPr>
    </w:p>
    <w:p>
      <w:pPr>
        <w:ind w:left="1400" w:right="299" w:firstLine="339"/>
        <w:spacing w:after="0" w:line="258" w:lineRule="auto"/>
        <w:rPr>
          <w:sz w:val="20"/>
          <w:szCs w:val="20"/>
          <w:color w:val="auto"/>
        </w:rPr>
      </w:pPr>
      <w:r>
        <w:rPr>
          <w:rFonts w:ascii="Times New Roman" w:cs="Times New Roman" w:eastAsia="Times New Roman" w:hAnsi="Times New Roman"/>
          <w:sz w:val="14"/>
          <w:szCs w:val="14"/>
          <w:color w:val="auto"/>
        </w:rPr>
        <w:t>Ernst &amp; Young LLP, independent registered public accounting firm, has audited our consolidated financial statements included in our Annual Report on Form 10-K for the year ended December 31, 2025,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w:t>
      </w:r>
    </w:p>
    <w:p>
      <w:pPr>
        <w:spacing w:after="0" w:line="3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74" w:lineRule="exact"/>
        <w:rPr>
          <w:sz w:val="20"/>
          <w:szCs w:val="20"/>
          <w:color w:val="auto"/>
        </w:rPr>
      </w:pPr>
    </w:p>
    <w:p>
      <w:pPr>
        <w:ind w:left="1400" w:right="319" w:firstLine="339"/>
        <w:spacing w:after="0" w:line="252" w:lineRule="auto"/>
        <w:rPr>
          <w:sz w:val="20"/>
          <w:szCs w:val="20"/>
          <w:color w:val="auto"/>
        </w:rPr>
      </w:pPr>
      <w:r>
        <w:rPr>
          <w:rFonts w:ascii="Times New Roman" w:cs="Times New Roman" w:eastAsia="Times New Roman" w:hAnsi="Times New Roman"/>
          <w:sz w:val="14"/>
          <w:szCs w:val="14"/>
          <w:color w:val="auto"/>
        </w:rPr>
        <w:t xml:space="preserve">We have filed with the SEC a registration statement on Form S-1 under the Securities Act with respect to the shares of Class A common stock offered by this prospectus. This prospectus, filed as part of the registration statement, does not contain all of the information set forth in the registration statement and its exhibits and schedules, portions of which have been omitted as permitted by the rules and regulations of the SEC. For further information about us and shares of our Class A common stock, we refer you to the registration statement and to its exhibits and schedules. Statements in this prospectus about the contents of any contract, agreement or other document are not necessarily complete and in each instance we refer you to the copy or form of such contract, agreement or document filed as an exhibit to the registration statement, each statement being qualified in all respects by such reference. You may inspect these reports and other information without charge at a website maintained by the SEC. The address of this site is </w:t>
      </w:r>
      <w:r>
        <w:rPr>
          <w:rFonts w:ascii="Times New Roman" w:cs="Times New Roman" w:eastAsia="Times New Roman" w:hAnsi="Times New Roman"/>
          <w:sz w:val="14"/>
          <w:szCs w:val="14"/>
          <w:i w:val="1"/>
          <w:iCs w:val="1"/>
          <w:color w:val="auto"/>
        </w:rPr>
        <w:t>www.sec.gov.</w:t>
      </w:r>
    </w:p>
    <w:p>
      <w:pPr>
        <w:spacing w:after="0" w:line="143" w:lineRule="exact"/>
        <w:rPr>
          <w:sz w:val="20"/>
          <w:szCs w:val="20"/>
          <w:color w:val="auto"/>
        </w:rPr>
      </w:pPr>
    </w:p>
    <w:p>
      <w:pPr>
        <w:ind w:left="1400" w:right="279" w:firstLine="339"/>
        <w:spacing w:after="0" w:line="281" w:lineRule="auto"/>
        <w:rPr>
          <w:sz w:val="20"/>
          <w:szCs w:val="20"/>
          <w:color w:val="auto"/>
        </w:rPr>
      </w:pPr>
      <w:r>
        <w:rPr>
          <w:rFonts w:ascii="Times New Roman" w:cs="Times New Roman" w:eastAsia="Times New Roman" w:hAnsi="Times New Roman"/>
          <w:sz w:val="14"/>
          <w:szCs w:val="14"/>
          <w:color w:val="auto"/>
        </w:rPr>
        <w:t xml:space="preserve">We maintain an internet site at </w:t>
      </w:r>
      <w:r>
        <w:rPr>
          <w:rFonts w:ascii="Times New Roman" w:cs="Times New Roman" w:eastAsia="Times New Roman" w:hAnsi="Times New Roman"/>
          <w:sz w:val="14"/>
          <w:szCs w:val="14"/>
          <w:i w:val="1"/>
          <w:iCs w:val="1"/>
          <w:color w:val="auto"/>
        </w:rPr>
        <w:t>www.medline.com.</w:t>
      </w:r>
      <w:r>
        <w:rPr>
          <w:rFonts w:ascii="Times New Roman" w:cs="Times New Roman" w:eastAsia="Times New Roman" w:hAnsi="Times New Roman"/>
          <w:sz w:val="14"/>
          <w:szCs w:val="14"/>
          <w:color w:val="auto"/>
        </w:rPr>
        <w:t xml:space="preserve"> The information on, or accessible from, our website is not part of this prospectus by reference or otherwise.</w:t>
      </w:r>
    </w:p>
    <w:p>
      <w:pPr>
        <w:spacing w:after="0" w:line="124" w:lineRule="exact"/>
        <w:rPr>
          <w:sz w:val="20"/>
          <w:szCs w:val="20"/>
          <w:color w:val="auto"/>
        </w:rPr>
      </w:pPr>
    </w:p>
    <w:p>
      <w:pPr>
        <w:ind w:left="1400" w:right="439" w:firstLine="339"/>
        <w:spacing w:after="0" w:line="278" w:lineRule="auto"/>
        <w:rPr>
          <w:sz w:val="20"/>
          <w:szCs w:val="20"/>
          <w:color w:val="auto"/>
        </w:rPr>
      </w:pPr>
      <w:r>
        <w:rPr>
          <w:rFonts w:ascii="Times New Roman" w:cs="Times New Roman" w:eastAsia="Times New Roman" w:hAnsi="Times New Roman"/>
          <w:sz w:val="14"/>
          <w:szCs w:val="14"/>
          <w:color w:val="auto"/>
        </w:rPr>
        <w:t>We are subject to the informational requirements of the Exchange Act and as a result file annual, quarterly and current reports, proxy statements and other information with the SEC. You are able to inspect copies of these materials without charge at the SEC’s website.</w:t>
      </w:r>
    </w:p>
    <w:p>
      <w:pPr>
        <w:spacing w:after="0" w:line="29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b w:val="1"/>
          <w:bCs w:val="1"/>
          <w:color w:val="auto"/>
        </w:rPr>
        <w:t>INFORMATION INCORPORATED BY REFERENCE</w:t>
      </w:r>
    </w:p>
    <w:p>
      <w:pPr>
        <w:spacing w:after="0" w:line="174" w:lineRule="exact"/>
        <w:rPr>
          <w:sz w:val="20"/>
          <w:szCs w:val="20"/>
          <w:color w:val="auto"/>
        </w:rPr>
      </w:pPr>
    </w:p>
    <w:p>
      <w:pPr>
        <w:ind w:left="1400" w:right="319" w:firstLine="339"/>
        <w:spacing w:after="0" w:line="263" w:lineRule="auto"/>
        <w:rPr>
          <w:sz w:val="20"/>
          <w:szCs w:val="20"/>
          <w:color w:val="auto"/>
        </w:rPr>
      </w:pPr>
      <w:r>
        <w:rPr>
          <w:rFonts w:ascii="Times New Roman" w:cs="Times New Roman" w:eastAsia="Times New Roman" w:hAnsi="Times New Roman"/>
          <w:sz w:val="14"/>
          <w:szCs w:val="14"/>
          <w:color w:val="auto"/>
        </w:rPr>
        <w:t>The rules of the SEC allow us to incorporate information into this prospectus by reference. This means that we can disclose important information to you by referring you to another document. The information incorporated by reference is considered to be a part of this prospectus. This prospectus incorporates by reference the documents listed below.</w:t>
      </w:r>
    </w:p>
    <w:p>
      <w:pPr>
        <w:spacing w:after="0" w:line="63" w:lineRule="exact"/>
        <w:rPr>
          <w:sz w:val="20"/>
          <w:szCs w:val="20"/>
          <w:color w:val="auto"/>
        </w:rPr>
      </w:pPr>
    </w:p>
    <w:p>
      <w:pPr>
        <w:ind w:left="2160" w:hanging="342"/>
        <w:spacing w:after="0"/>
        <w:tabs>
          <w:tab w:leader="none" w:pos="21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133">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fiscal year ended December 31, 2025, filed on February 25, 2026;</w:t>
      </w:r>
    </w:p>
    <w:p>
      <w:pPr>
        <w:spacing w:after="0" w:line="98" w:lineRule="exact"/>
        <w:rPr>
          <w:rFonts w:ascii="Times New Roman" w:cs="Times New Roman" w:eastAsia="Times New Roman" w:hAnsi="Times New Roman"/>
          <w:sz w:val="14"/>
          <w:szCs w:val="14"/>
          <w:color w:val="auto"/>
        </w:rPr>
      </w:pPr>
    </w:p>
    <w:p>
      <w:pPr>
        <w:ind w:left="2160" w:right="279" w:hanging="342"/>
        <w:spacing w:after="0" w:line="278" w:lineRule="auto"/>
        <w:tabs>
          <w:tab w:leader="none" w:pos="21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portions of our definitive proxy statement on </w:t>
      </w:r>
      <w:hyperlink r:id="rId134">
        <w:r>
          <w:rPr>
            <w:rFonts w:ascii="Times New Roman" w:cs="Times New Roman" w:eastAsia="Times New Roman" w:hAnsi="Times New Roman"/>
            <w:sz w:val="14"/>
            <w:szCs w:val="14"/>
            <w:u w:val="single" w:color="auto"/>
            <w:color w:val="0000EE"/>
          </w:rPr>
          <w:t>Schedule 14A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filed with the SEC on April 23, 2026 that were incorporated by reference in our annual report on Form 10-K for the fiscal year ended December 31, 2025;</w:t>
      </w:r>
    </w:p>
    <w:p>
      <w:pPr>
        <w:spacing w:after="0" w:line="74" w:lineRule="exact"/>
        <w:rPr>
          <w:rFonts w:ascii="Times New Roman" w:cs="Times New Roman" w:eastAsia="Times New Roman" w:hAnsi="Times New Roman"/>
          <w:sz w:val="14"/>
          <w:szCs w:val="14"/>
          <w:color w:val="auto"/>
        </w:rPr>
      </w:pPr>
    </w:p>
    <w:p>
      <w:pPr>
        <w:ind w:left="5580"/>
        <w:spacing w:after="0"/>
        <w:rPr>
          <w:sz w:val="20"/>
          <w:szCs w:val="20"/>
          <w:color w:val="auto"/>
        </w:rPr>
      </w:pPr>
      <w:r>
        <w:rPr>
          <w:rFonts w:ascii="Times New Roman" w:cs="Times New Roman" w:eastAsia="Times New Roman" w:hAnsi="Times New Roman"/>
          <w:sz w:val="14"/>
          <w:szCs w:val="14"/>
          <w:color w:val="auto"/>
        </w:rPr>
        <w:t>76</w:t>
      </w:r>
    </w:p>
    <w:p>
      <w:pPr>
        <w:sectPr>
          <w:pgSz w:w="11900" w:h="16838" w:orient="portrait"/>
          <w:cols w:equalWidth="0" w:num="1">
            <w:col w:w="10159"/>
          </w:cols>
          <w:pgMar w:left="300" w:top="382" w:right="1440"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2160" w:hanging="342"/>
        <w:spacing w:after="0"/>
        <w:tabs>
          <w:tab w:leader="none" w:pos="21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Quarterly Report on </w:t>
      </w:r>
      <w:hyperlink r:id="rId136">
        <w:r>
          <w:rPr>
            <w:rFonts w:ascii="Times New Roman" w:cs="Times New Roman" w:eastAsia="Times New Roman" w:hAnsi="Times New Roman"/>
            <w:sz w:val="14"/>
            <w:szCs w:val="14"/>
            <w:u w:val="single" w:color="auto"/>
            <w:color w:val="0000EE"/>
          </w:rPr>
          <w:t>Form 10-Q</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fiscal quarter ended March 28, 2026 filed on May 6, 2026; and</w:t>
      </w:r>
    </w:p>
    <w:p>
      <w:pPr>
        <w:spacing w:after="0" w:line="98" w:lineRule="exact"/>
        <w:rPr>
          <w:rFonts w:ascii="Times New Roman" w:cs="Times New Roman" w:eastAsia="Times New Roman" w:hAnsi="Times New Roman"/>
          <w:sz w:val="14"/>
          <w:szCs w:val="14"/>
          <w:color w:val="auto"/>
        </w:rPr>
      </w:pPr>
    </w:p>
    <w:p>
      <w:pPr>
        <w:ind w:left="2160" w:right="479" w:hanging="342"/>
        <w:spacing w:after="0" w:line="278" w:lineRule="auto"/>
        <w:tabs>
          <w:tab w:leader="none" w:pos="21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shares of Class A common stock contained in our Annual Report on </w:t>
      </w:r>
      <w:hyperlink r:id="rId133">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year ended December 31, 2025.</w:t>
      </w:r>
    </w:p>
    <w:p>
      <w:pPr>
        <w:spacing w:after="0" w:line="126" w:lineRule="exact"/>
        <w:rPr>
          <w:rFonts w:ascii="Times New Roman" w:cs="Times New Roman" w:eastAsia="Times New Roman" w:hAnsi="Times New Roman"/>
          <w:sz w:val="14"/>
          <w:szCs w:val="14"/>
          <w:color w:val="auto"/>
        </w:rPr>
      </w:pPr>
    </w:p>
    <w:p>
      <w:pPr>
        <w:ind w:left="1400" w:right="439" w:firstLine="339"/>
        <w:spacing w:after="0" w:line="258" w:lineRule="auto"/>
        <w:rPr>
          <w:sz w:val="20"/>
          <w:szCs w:val="20"/>
          <w:color w:val="auto"/>
        </w:rPr>
      </w:pPr>
      <w:r>
        <w:rPr>
          <w:rFonts w:ascii="Times New Roman" w:cs="Times New Roman" w:eastAsia="Times New Roman" w:hAnsi="Times New Roman"/>
          <w:sz w:val="14"/>
          <w:szCs w:val="14"/>
          <w:color w:val="auto"/>
        </w:rPr>
        <w:t>Any statement made in this prospectus or in a document incorporated by reference into this prospectus will be deemed to be modified or superseded for purposes of this prospectus to the extent that a statement contained in this prospectus modifies or supersedes that statement. Any statement so modified or superseded will not be deemed as so modified or superseded, except as so modified or superseded, to constitute a part of this prospectus.</w:t>
      </w:r>
    </w:p>
    <w:p>
      <w:pPr>
        <w:spacing w:after="0" w:line="140" w:lineRule="exact"/>
        <w:rPr>
          <w:rFonts w:ascii="Times New Roman" w:cs="Times New Roman" w:eastAsia="Times New Roman" w:hAnsi="Times New Roman"/>
          <w:sz w:val="14"/>
          <w:szCs w:val="14"/>
          <w:color w:val="auto"/>
        </w:rPr>
      </w:pPr>
    </w:p>
    <w:p>
      <w:pPr>
        <w:ind w:left="1400" w:right="439" w:firstLine="339"/>
        <w:spacing w:after="0" w:line="258" w:lineRule="auto"/>
        <w:rPr>
          <w:sz w:val="20"/>
          <w:szCs w:val="20"/>
          <w:color w:val="auto"/>
        </w:rPr>
      </w:pPr>
      <w:r>
        <w:rPr>
          <w:rFonts w:ascii="Times New Roman" w:cs="Times New Roman" w:eastAsia="Times New Roman" w:hAnsi="Times New Roman"/>
          <w:sz w:val="14"/>
          <w:szCs w:val="14"/>
          <w:color w:val="auto"/>
        </w:rPr>
        <w:t xml:space="preserve">You can obtain any of the filings incorporated by reference into this prospectus through us or from the SEC through the SEC’s website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 We will provide, without charge, to each person, including any beneficial owner, to whom a copy of  this prospectus is delivered, upon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written or oral request of such person, a copy of any or all of the reports and documents referred to above which have been or may be incorporated by reference into this prospectus. You should direct requests for those documents to:</w:t>
      </w:r>
    </w:p>
    <w:p>
      <w:pPr>
        <w:spacing w:after="0" w:line="56"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Medline Inc.</w:t>
      </w:r>
    </w:p>
    <w:p>
      <w:pPr>
        <w:spacing w:after="0" w:line="21"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3 Lakes Drive</w:t>
      </w:r>
    </w:p>
    <w:p>
      <w:pPr>
        <w:spacing w:after="0" w:line="5"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Northfield, Illinois 60093</w:t>
      </w:r>
    </w:p>
    <w:p>
      <w:pPr>
        <w:spacing w:after="0" w:line="5"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IR@medline.com</w:t>
      </w:r>
    </w:p>
    <w:p>
      <w:pPr>
        <w:spacing w:after="0" w:line="155" w:lineRule="exact"/>
        <w:rPr>
          <w:rFonts w:ascii="Times New Roman" w:cs="Times New Roman" w:eastAsia="Times New Roman" w:hAnsi="Times New Roman"/>
          <w:sz w:val="14"/>
          <w:szCs w:val="14"/>
          <w:color w:val="auto"/>
        </w:rPr>
      </w:pPr>
    </w:p>
    <w:p>
      <w:pPr>
        <w:ind w:left="1400" w:right="619" w:firstLine="339"/>
        <w:spacing w:after="0" w:line="281" w:lineRule="auto"/>
        <w:rPr>
          <w:sz w:val="20"/>
          <w:szCs w:val="20"/>
          <w:color w:val="auto"/>
        </w:rPr>
      </w:pPr>
      <w:r>
        <w:rPr>
          <w:rFonts w:ascii="Times New Roman" w:cs="Times New Roman" w:eastAsia="Times New Roman" w:hAnsi="Times New Roman"/>
          <w:sz w:val="14"/>
          <w:szCs w:val="14"/>
          <w:color w:val="auto"/>
        </w:rPr>
        <w:t xml:space="preserve">We maintain an internet site at </w:t>
      </w:r>
      <w:r>
        <w:rPr>
          <w:rFonts w:ascii="Times New Roman" w:cs="Times New Roman" w:eastAsia="Times New Roman" w:hAnsi="Times New Roman"/>
          <w:sz w:val="14"/>
          <w:szCs w:val="14"/>
          <w:i w:val="1"/>
          <w:iCs w:val="1"/>
          <w:color w:val="auto"/>
        </w:rPr>
        <w:t>www.medline.com</w:t>
      </w:r>
      <w:r>
        <w:rPr>
          <w:rFonts w:ascii="Times New Roman" w:cs="Times New Roman" w:eastAsia="Times New Roman" w:hAnsi="Times New Roman"/>
          <w:sz w:val="14"/>
          <w:szCs w:val="14"/>
          <w:color w:val="auto"/>
        </w:rPr>
        <w:t>. Our website and the information contained on or connected to it shall not be deemed to be incorporated into this prospectus or the registration statement of which it forms a part.</w:t>
      </w:r>
    </w:p>
    <w:p>
      <w:pPr>
        <w:spacing w:after="0" w:line="353" w:lineRule="exact"/>
        <w:rPr>
          <w:rFonts w:ascii="Times New Roman" w:cs="Times New Roman" w:eastAsia="Times New Roman" w:hAnsi="Times New Roman"/>
          <w:sz w:val="14"/>
          <w:szCs w:val="14"/>
          <w:color w:val="auto"/>
        </w:rPr>
      </w:pPr>
    </w:p>
    <w:p>
      <w:pPr>
        <w:ind w:left="5580"/>
        <w:spacing w:after="0"/>
        <w:rPr>
          <w:sz w:val="20"/>
          <w:szCs w:val="20"/>
          <w:color w:val="auto"/>
        </w:rPr>
      </w:pPr>
      <w:r>
        <w:rPr>
          <w:rFonts w:ascii="Times New Roman" w:cs="Times New Roman" w:eastAsia="Times New Roman" w:hAnsi="Times New Roman"/>
          <w:sz w:val="14"/>
          <w:szCs w:val="14"/>
          <w:color w:val="auto"/>
        </w:rPr>
        <w:t>77</w:t>
      </w:r>
    </w:p>
    <w:p>
      <w:pPr>
        <w:sectPr>
          <w:pgSz w:w="11900" w:h="16838" w:orient="portrait"/>
          <w:cols w:equalWidth="0" w:num="1">
            <w:col w:w="10159"/>
          </w:cols>
          <w:pgMar w:left="300" w:top="383" w:right="1440"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8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7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ITEM 13. OTHER EXPENSES OF ISSUANCE AND DISTRIBUTION.</w:t>
      </w:r>
    </w:p>
    <w:p>
      <w:pPr>
        <w:spacing w:after="0" w:line="91" w:lineRule="exact"/>
        <w:rPr>
          <w:sz w:val="20"/>
          <w:szCs w:val="20"/>
          <w:color w:val="auto"/>
        </w:rPr>
      </w:pPr>
    </w:p>
    <w:p>
      <w:pPr>
        <w:jc w:val="both"/>
        <w:ind w:left="1400" w:right="419" w:firstLine="339"/>
        <w:spacing w:after="0" w:line="292" w:lineRule="auto"/>
        <w:rPr>
          <w:sz w:val="20"/>
          <w:szCs w:val="20"/>
          <w:color w:val="auto"/>
        </w:rPr>
      </w:pPr>
      <w:r>
        <w:rPr>
          <w:rFonts w:ascii="Times New Roman" w:cs="Times New Roman" w:eastAsia="Times New Roman" w:hAnsi="Times New Roman"/>
          <w:sz w:val="13"/>
          <w:szCs w:val="13"/>
          <w:color w:val="auto"/>
        </w:rPr>
        <w:t>The following table sets forth the expenses payable by the Registrant expected to be incurred in connection with the issuance and distribution of the shares of Class A common stock being registered hereby (other than underwriting discounts and commissions). All of such expenses are estimates, other than the filing and listing fees payable to the Securities and Exchange Commission and the Financial Industry Regulatory Authority, Inc.</w:t>
      </w:r>
    </w:p>
    <w:p>
      <w:pPr>
        <w:spacing w:after="0" w:line="155" w:lineRule="exact"/>
        <w:rPr>
          <w:sz w:val="20"/>
          <w:szCs w:val="20"/>
          <w:color w:val="auto"/>
        </w:rPr>
      </w:pPr>
    </w:p>
    <w:tbl>
      <w:tblPr>
        <w:tblLayout w:type="fixed"/>
        <w:tblInd w:w="2760" w:type="dxa"/>
        <w:tblCellMar>
          <w:top w:w="0" w:type="dxa"/>
          <w:left w:w="0" w:type="dxa"/>
          <w:bottom w:w="0" w:type="dxa"/>
          <w:right w:w="0" w:type="dxa"/>
        </w:tblCellMar>
      </w:tblPr>
      <w:tr>
        <w:trPr>
          <w:trHeight w:val="16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Filing Fee—Securities and Exchange Commission</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368,864</w:t>
            </w:r>
          </w:p>
        </w:tc>
        <w:tc>
          <w:tcPr>
            <w:tcW w:w="40" w:type="dxa"/>
            <w:vAlign w:val="bottom"/>
            <w:shd w:val="clear" w:color="auto" w:fill="CCEEFF"/>
          </w:tcPr>
          <w:p>
            <w:pPr>
              <w:spacing w:after="0"/>
              <w:rPr>
                <w:sz w:val="14"/>
                <w:szCs w:val="14"/>
                <w:color w:val="auto"/>
              </w:rPr>
            </w:pPr>
          </w:p>
        </w:tc>
      </w:tr>
      <w:tr>
        <w:trPr>
          <w:trHeight w:val="166"/>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Fee—Financial Industry Regulatory Authority, Inc.</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225,500</w:t>
            </w:r>
          </w:p>
        </w:tc>
        <w:tc>
          <w:tcPr>
            <w:tcW w:w="40" w:type="dxa"/>
            <w:vAlign w:val="bottom"/>
          </w:tcPr>
          <w:p>
            <w:pPr>
              <w:spacing w:after="0"/>
              <w:rPr>
                <w:sz w:val="14"/>
                <w:szCs w:val="14"/>
                <w:color w:val="auto"/>
              </w:rPr>
            </w:pPr>
          </w:p>
        </w:tc>
      </w:tr>
      <w:tr>
        <w:trPr>
          <w:trHeight w:val="16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Fees of Transfer Agent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8,500</w:t>
            </w:r>
          </w:p>
        </w:tc>
        <w:tc>
          <w:tcPr>
            <w:tcW w:w="40" w:type="dxa"/>
            <w:vAlign w:val="bottom"/>
            <w:shd w:val="clear" w:color="auto" w:fill="CCEEFF"/>
          </w:tcPr>
          <w:p>
            <w:pPr>
              <w:spacing w:after="0"/>
              <w:rPr>
                <w:sz w:val="14"/>
                <w:szCs w:val="14"/>
                <w:color w:val="auto"/>
              </w:rPr>
            </w:pPr>
          </w:p>
        </w:tc>
      </w:tr>
      <w:tr>
        <w:trPr>
          <w:trHeight w:val="166"/>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Fees and Expenses of Counsel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750,000</w:t>
            </w:r>
          </w:p>
        </w:tc>
        <w:tc>
          <w:tcPr>
            <w:tcW w:w="40" w:type="dxa"/>
            <w:vAlign w:val="bottom"/>
          </w:tcPr>
          <w:p>
            <w:pPr>
              <w:spacing w:after="0"/>
              <w:rPr>
                <w:sz w:val="14"/>
                <w:szCs w:val="14"/>
                <w:color w:val="auto"/>
              </w:rPr>
            </w:pPr>
          </w:p>
        </w:tc>
      </w:tr>
      <w:tr>
        <w:trPr>
          <w:trHeight w:val="16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Fees and Expenses of Accountants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525,000</w:t>
            </w:r>
          </w:p>
        </w:tc>
        <w:tc>
          <w:tcPr>
            <w:tcW w:w="40" w:type="dxa"/>
            <w:vAlign w:val="bottom"/>
            <w:shd w:val="clear" w:color="auto" w:fill="CCEEFF"/>
          </w:tcPr>
          <w:p>
            <w:pPr>
              <w:spacing w:after="0"/>
              <w:rPr>
                <w:sz w:val="14"/>
                <w:szCs w:val="14"/>
                <w:color w:val="auto"/>
              </w:rPr>
            </w:pPr>
          </w:p>
        </w:tc>
      </w:tr>
      <w:tr>
        <w:trPr>
          <w:trHeight w:val="166"/>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Printing Expenses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284,282</w:t>
            </w:r>
          </w:p>
        </w:tc>
        <w:tc>
          <w:tcPr>
            <w:tcW w:w="40" w:type="dxa"/>
            <w:vAlign w:val="bottom"/>
          </w:tcPr>
          <w:p>
            <w:pPr>
              <w:spacing w:after="0"/>
              <w:rPr>
                <w:sz w:val="14"/>
                <w:szCs w:val="14"/>
                <w:color w:val="auto"/>
              </w:rPr>
            </w:pPr>
          </w:p>
        </w:tc>
      </w:tr>
      <w:tr>
        <w:trPr>
          <w:trHeight w:val="16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Miscellaneous Expenses</w:t>
            </w: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337,854</w:t>
            </w:r>
          </w:p>
        </w:tc>
        <w:tc>
          <w:tcPr>
            <w:tcW w:w="40" w:type="dxa"/>
            <w:vAlign w:val="bottom"/>
            <w:shd w:val="clear" w:color="auto" w:fill="CCEEFF"/>
          </w:tcPr>
          <w:p>
            <w:pPr>
              <w:spacing w:after="0"/>
              <w:rPr>
                <w:sz w:val="14"/>
                <w:szCs w:val="14"/>
                <w:color w:val="auto"/>
              </w:rPr>
            </w:pPr>
          </w:p>
        </w:tc>
      </w:tr>
      <w:tr>
        <w:trPr>
          <w:trHeight w:val="167"/>
        </w:trPr>
        <w:tc>
          <w:tcPr>
            <w:tcW w:w="5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2,500,000</w:t>
            </w:r>
          </w:p>
        </w:tc>
        <w:tc>
          <w:tcPr>
            <w:tcW w:w="40" w:type="dxa"/>
            <w:vAlign w:val="bottom"/>
          </w:tcPr>
          <w:p>
            <w:pPr>
              <w:spacing w:after="0"/>
              <w:rPr>
                <w:sz w:val="14"/>
                <w:szCs w:val="14"/>
                <w:color w:val="auto"/>
              </w:rPr>
            </w:pPr>
          </w:p>
        </w:tc>
      </w:tr>
      <w:tr>
        <w:trPr>
          <w:trHeight w:val="20"/>
        </w:trPr>
        <w:tc>
          <w:tcPr>
            <w:tcW w:w="5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ITEM 14. INDEMNIFICATION OF DIRECTORS AND OFFICERS.</w:t>
      </w:r>
    </w:p>
    <w:p>
      <w:pPr>
        <w:spacing w:after="0" w:line="91" w:lineRule="exact"/>
        <w:rPr>
          <w:sz w:val="20"/>
          <w:szCs w:val="20"/>
          <w:color w:val="auto"/>
        </w:rPr>
      </w:pPr>
    </w:p>
    <w:p>
      <w:pPr>
        <w:ind w:left="1400" w:right="319" w:firstLine="339"/>
        <w:spacing w:after="0" w:line="251" w:lineRule="auto"/>
        <w:rPr>
          <w:sz w:val="20"/>
          <w:szCs w:val="20"/>
          <w:color w:val="auto"/>
        </w:rPr>
      </w:pPr>
      <w:r>
        <w:rPr>
          <w:rFonts w:ascii="Times New Roman" w:cs="Times New Roman" w:eastAsia="Times New Roman" w:hAnsi="Times New Roman"/>
          <w:sz w:val="14"/>
          <w:szCs w:val="14"/>
          <w:color w:val="auto"/>
        </w:rPr>
        <w:t>Section 102(b)(7) of the Delaware General Corporation Law, or DGCL, allows a corporation to provide in its certificate of incorporation that a director and certain officers of the corporation will not be personally liable to the corporation or its stockholders for monetary damages for breach of fiduciary duty as a director or officer, as applicable, except where the director or officer breached the duty of loyalty, failed to act in good faith, engaged in intentional misconduct or knowingly violated a law, or obtained an improper personal benefit. In addition, no provision may limit or eliminate the liability of a director for the authorization of the payment of a dividend or a stock repurchase or redemption in violation of Delaware corporate law, and no provision may limit or eliminate the liability of an officer in any action by or in the right of the Company, including any derivative claim. Our amended and restated certificate of incorporation provides for this limitation of liability to the fullest extent permitted by law, as it exists now or may exist in the future. Our amended and restated certificate of incorporation further provides that no amendment to our exculpation provision will limit or eliminate the rights or protections of officers with respect to acts or omissions occurring prior to the time of the amendment.</w:t>
      </w:r>
    </w:p>
    <w:p>
      <w:pPr>
        <w:spacing w:after="0" w:line="148" w:lineRule="exact"/>
        <w:rPr>
          <w:sz w:val="20"/>
          <w:szCs w:val="20"/>
          <w:color w:val="auto"/>
        </w:rPr>
      </w:pPr>
    </w:p>
    <w:p>
      <w:pPr>
        <w:ind w:left="1400" w:right="319" w:firstLine="339"/>
        <w:spacing w:after="0" w:line="272" w:lineRule="auto"/>
        <w:rPr>
          <w:sz w:val="20"/>
          <w:szCs w:val="20"/>
          <w:color w:val="auto"/>
        </w:rPr>
      </w:pPr>
      <w:r>
        <w:rPr>
          <w:rFonts w:ascii="Times New Roman" w:cs="Times New Roman" w:eastAsia="Times New Roman" w:hAnsi="Times New Roman"/>
          <w:sz w:val="13"/>
          <w:szCs w:val="13"/>
          <w:color w:val="auto"/>
        </w:rPr>
        <w:t>Section 145 of the DGCL, or Section 145, provides, among other things,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against expenses (including attorneys’ fees), judgments, fines, and amounts paid in settlement actually and reasonably incurred by such person in connection with such action, suit, or proceeding, provided such person acted in good faith and in a manner they reasonably believed to be in or not opposed to the corporation’s best interests and, with respect to any criminal action or proceeding, had no reasonable cause to believe that their conduct was illegal. A Delaware corporation may indemnify any persons who were or are a party to any threatened, pending, or completed action or suit by or in the right of the corporation by reason of the fact that such person is or was a director, officer, employee, or agent of another corporation or enterprise against expenses (including attorneys’ fees) actually and reasonably incurred by such person in connection with the defense or settlement of such action or suit, provided such person acted in good faith and in a manner they reasonably believed to be in or not opposed to the corporation’s best interests,</w:t>
      </w:r>
    </w:p>
    <w:p>
      <w:pPr>
        <w:spacing w:after="0" w:line="8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II-1</w:t>
      </w:r>
    </w:p>
    <w:p>
      <w:pPr>
        <w:sectPr>
          <w:pgSz w:w="11900" w:h="16838" w:orient="portrait"/>
          <w:cols w:equalWidth="0" w:num="1">
            <w:col w:w="10159"/>
          </w:cols>
          <w:pgMar w:left="300" w:top="383" w:right="1440"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jc w:val="both"/>
        <w:ind w:left="1400" w:right="399"/>
        <w:spacing w:after="0" w:line="263" w:lineRule="auto"/>
        <w:rPr>
          <w:sz w:val="20"/>
          <w:szCs w:val="20"/>
          <w:color w:val="auto"/>
        </w:rPr>
      </w:pPr>
      <w:r>
        <w:rPr>
          <w:rFonts w:ascii="Times New Roman" w:cs="Times New Roman" w:eastAsia="Times New Roman" w:hAnsi="Times New Roman"/>
          <w:sz w:val="14"/>
          <w:szCs w:val="14"/>
          <w:color w:val="auto"/>
        </w:rPr>
        <w:t>provided further that no indemnification is permitted without judicial approval if the officer, director, employee, or agent is adjudged to be liable to the corporation. Where directors or certain officers are successful on the merits or otherwise in the defense of any action referred to above, the corporation must indemnify them against the expenses such officer or director has actually and reasonably incurred.</w:t>
      </w:r>
    </w:p>
    <w:p>
      <w:pPr>
        <w:spacing w:after="0" w:line="136" w:lineRule="exact"/>
        <w:rPr>
          <w:sz w:val="20"/>
          <w:szCs w:val="20"/>
          <w:color w:val="auto"/>
        </w:rPr>
      </w:pPr>
    </w:p>
    <w:p>
      <w:pPr>
        <w:ind w:left="1400" w:right="339" w:firstLine="339"/>
        <w:spacing w:after="0" w:line="255" w:lineRule="auto"/>
        <w:rPr>
          <w:sz w:val="20"/>
          <w:szCs w:val="20"/>
          <w:color w:val="auto"/>
        </w:rPr>
      </w:pPr>
      <w:r>
        <w:rPr>
          <w:rFonts w:ascii="Times New Roman" w:cs="Times New Roman" w:eastAsia="Times New Roman" w:hAnsi="Times New Roman"/>
          <w:sz w:val="14"/>
          <w:szCs w:val="14"/>
          <w:color w:val="auto"/>
        </w:rPr>
        <w:t>Section 145 also provides that the expenses incurred by a director, officer, employee, or agent of the corporation or a person serving at the request of the corporation as a director, officer, employee, or agent of another corporation or enterprise in defending any action, suit, or proceeding may be paid in advance of the final disposition of the action, suit, or proceeding, subject, in the case of current officers and directors, to the corporation’s receipt of an undertaking by or on behalf of such officer or director to repay the amount so advanced if it shall be ultimately determined that such person is not entitled to be indemnified.</w:t>
      </w:r>
    </w:p>
    <w:p>
      <w:pPr>
        <w:spacing w:after="0" w:line="143" w:lineRule="exact"/>
        <w:rPr>
          <w:sz w:val="20"/>
          <w:szCs w:val="20"/>
          <w:color w:val="auto"/>
        </w:rPr>
      </w:pPr>
    </w:p>
    <w:p>
      <w:pPr>
        <w:ind w:left="1400" w:right="279" w:firstLine="339"/>
        <w:spacing w:after="0" w:line="258" w:lineRule="auto"/>
        <w:rPr>
          <w:sz w:val="20"/>
          <w:szCs w:val="20"/>
          <w:color w:val="auto"/>
        </w:rPr>
      </w:pPr>
      <w:r>
        <w:rPr>
          <w:rFonts w:ascii="Times New Roman" w:cs="Times New Roman" w:eastAsia="Times New Roman" w:hAnsi="Times New Roman"/>
          <w:sz w:val="14"/>
          <w:szCs w:val="14"/>
          <w:color w:val="auto"/>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such person and incurred by such person in any such capacity, or arising out of their status as such, whether or not the corporation would otherwise have the power to indemnify them under Section 145.</w:t>
      </w:r>
    </w:p>
    <w:p>
      <w:pPr>
        <w:spacing w:after="0" w:line="140" w:lineRule="exact"/>
        <w:rPr>
          <w:sz w:val="20"/>
          <w:szCs w:val="20"/>
          <w:color w:val="auto"/>
        </w:rPr>
      </w:pPr>
    </w:p>
    <w:p>
      <w:pPr>
        <w:ind w:left="1400" w:right="519" w:firstLine="339"/>
        <w:spacing w:after="0" w:line="258" w:lineRule="auto"/>
        <w:rPr>
          <w:sz w:val="20"/>
          <w:szCs w:val="20"/>
          <w:color w:val="auto"/>
        </w:rPr>
      </w:pPr>
      <w:r>
        <w:rPr>
          <w:rFonts w:ascii="Times New Roman" w:cs="Times New Roman" w:eastAsia="Times New Roman" w:hAnsi="Times New Roman"/>
          <w:sz w:val="14"/>
          <w:szCs w:val="14"/>
          <w:color w:val="auto"/>
        </w:rPr>
        <w:t>Our amended and restated bylaws provide that, subject to limited exceptions, we must indemnify our directors and officers to the fullest extent authorized by the DGCL and must pay expenses incurred in defending any such proceeding in advance of its final disposition upon delivery of an undertaking, by or on behalf of an indemnified person, to repay all amounts so advanced if it should be determined ultimately that such person is not entitled to be indemnified under our amended and restated bylaws or otherwise.</w:t>
      </w:r>
    </w:p>
    <w:p>
      <w:pPr>
        <w:spacing w:after="0" w:line="140" w:lineRule="exact"/>
        <w:rPr>
          <w:sz w:val="20"/>
          <w:szCs w:val="20"/>
          <w:color w:val="auto"/>
        </w:rPr>
      </w:pPr>
    </w:p>
    <w:p>
      <w:pPr>
        <w:ind w:left="1400" w:right="379" w:firstLine="339"/>
        <w:spacing w:after="0" w:line="263" w:lineRule="auto"/>
        <w:rPr>
          <w:sz w:val="20"/>
          <w:szCs w:val="20"/>
          <w:color w:val="auto"/>
        </w:rPr>
      </w:pPr>
      <w:r>
        <w:rPr>
          <w:rFonts w:ascii="Times New Roman" w:cs="Times New Roman" w:eastAsia="Times New Roman" w:hAnsi="Times New Roman"/>
          <w:sz w:val="14"/>
          <w:szCs w:val="14"/>
          <w:color w:val="auto"/>
        </w:rPr>
        <w:t>The rights to indemnification and advancement of expenses set forth above shall not be exclusive of any other right which an indemnified person may have or hereafter acquire under any statute, provision of our amended and restated certificate of incorporation, our amended and restated bylaws, agreement, vote of stockholders or disinterested directors, or otherwise.</w:t>
      </w:r>
    </w:p>
    <w:p>
      <w:pPr>
        <w:spacing w:after="0" w:line="136" w:lineRule="exact"/>
        <w:rPr>
          <w:sz w:val="20"/>
          <w:szCs w:val="20"/>
          <w:color w:val="auto"/>
        </w:rPr>
      </w:pPr>
    </w:p>
    <w:p>
      <w:pPr>
        <w:ind w:left="1400" w:right="359" w:firstLine="339"/>
        <w:spacing w:after="0" w:line="263" w:lineRule="auto"/>
        <w:rPr>
          <w:sz w:val="20"/>
          <w:szCs w:val="20"/>
          <w:color w:val="auto"/>
        </w:rPr>
      </w:pPr>
      <w:r>
        <w:rPr>
          <w:rFonts w:ascii="Times New Roman" w:cs="Times New Roman" w:eastAsia="Times New Roman" w:hAnsi="Times New Roman"/>
          <w:sz w:val="14"/>
          <w:szCs w:val="14"/>
          <w:color w:val="auto"/>
        </w:rPr>
        <w:t>We expect to maintain standard policies of insurance that provide coverage (1) to our directors and officers against loss arising from claims made by reason of breach of duty or other wrongful act and (2) to us with respect to indemnification payments that we may make to such directors and officers.</w:t>
      </w:r>
    </w:p>
    <w:p>
      <w:pPr>
        <w:spacing w:after="0" w:line="136" w:lineRule="exact"/>
        <w:rPr>
          <w:sz w:val="20"/>
          <w:szCs w:val="20"/>
          <w:color w:val="auto"/>
        </w:rPr>
      </w:pPr>
    </w:p>
    <w:p>
      <w:pPr>
        <w:ind w:left="1400" w:right="379" w:firstLine="339"/>
        <w:spacing w:after="0" w:line="254" w:lineRule="auto"/>
        <w:rPr>
          <w:sz w:val="20"/>
          <w:szCs w:val="20"/>
          <w:color w:val="auto"/>
        </w:rPr>
      </w:pPr>
      <w:r>
        <w:rPr>
          <w:rFonts w:ascii="Times New Roman" w:cs="Times New Roman" w:eastAsia="Times New Roman" w:hAnsi="Times New Roman"/>
          <w:sz w:val="14"/>
          <w:szCs w:val="14"/>
          <w:color w:val="auto"/>
        </w:rPr>
        <w:t>We have entered into indemnification agreements with our directors and executive officers. These agreements require us, subject to limited exceptions, to indemnify these individuals to the fullest extent permitted under Delaware law against liabilities that may arise by reason of their service to us, and to advance expenses they incur as a result of any proceeding to which they are or are threatened to be made a party or participant. Insofar as indemnification for liabilities arising under the Securities Act of 1933, as amended (the “Securities Act”), may be permitted to directors or executive officers, we have been informed that, in the opinion of the Securities and Exchange Commission, such indemnification is against public policy and is therefore unenforceable.</w:t>
      </w:r>
    </w:p>
    <w:p>
      <w:pPr>
        <w:spacing w:after="0" w:line="142" w:lineRule="exact"/>
        <w:rPr>
          <w:sz w:val="20"/>
          <w:szCs w:val="20"/>
          <w:color w:val="auto"/>
        </w:rPr>
      </w:pPr>
    </w:p>
    <w:p>
      <w:pPr>
        <w:ind w:left="1400" w:right="719" w:firstLine="339"/>
        <w:spacing w:after="0" w:line="278" w:lineRule="auto"/>
        <w:rPr>
          <w:sz w:val="20"/>
          <w:szCs w:val="20"/>
          <w:color w:val="auto"/>
        </w:rPr>
      </w:pPr>
      <w:r>
        <w:rPr>
          <w:rFonts w:ascii="Times New Roman" w:cs="Times New Roman" w:eastAsia="Times New Roman" w:hAnsi="Times New Roman"/>
          <w:sz w:val="14"/>
          <w:szCs w:val="14"/>
          <w:color w:val="auto"/>
        </w:rPr>
        <w:t>The proposed form of Underwriting Agreement to be filed as Exhibit 1.1 to this Registration Statement provides for indemnification to our directors and officers by the underwriters against certain liabilities.</w:t>
      </w:r>
    </w:p>
    <w:p>
      <w:pPr>
        <w:spacing w:after="0" w:line="20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ITEM 15. RECENT SALES OF UNREGISTERED SECURITIES.</w:t>
      </w:r>
    </w:p>
    <w:p>
      <w:pPr>
        <w:spacing w:after="0" w:line="91" w:lineRule="exact"/>
        <w:rPr>
          <w:sz w:val="20"/>
          <w:szCs w:val="20"/>
          <w:color w:val="auto"/>
        </w:rPr>
      </w:pPr>
    </w:p>
    <w:p>
      <w:pPr>
        <w:ind w:left="1400" w:right="459" w:firstLine="339"/>
        <w:spacing w:after="0" w:line="258" w:lineRule="auto"/>
        <w:rPr>
          <w:sz w:val="20"/>
          <w:szCs w:val="20"/>
          <w:color w:val="auto"/>
        </w:rPr>
      </w:pPr>
      <w:r>
        <w:rPr>
          <w:rFonts w:ascii="Times New Roman" w:cs="Times New Roman" w:eastAsia="Times New Roman" w:hAnsi="Times New Roman"/>
          <w:sz w:val="14"/>
          <w:szCs w:val="14"/>
          <w:color w:val="auto"/>
        </w:rPr>
        <w:t>In connection with the initial public offering of the Registrant’s Class A common stock, par value $0.0001 per share (the “Class A common stock”), the Registrant effected the Reorganization Transactions. In connection with the Reorganization Transactions, on December 16, 2025, the Registrant issued (i) 607,521,662 shares of its Class A common stock and (ii) 527,195,560 shares of its Class B common stock, par value $0.0001 per share (the “Class B common stock”) to its pre-IPO owners or affiliates thereof. No underwriters were involved in the</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II-2</w:t>
      </w:r>
    </w:p>
    <w:p>
      <w:pPr>
        <w:sectPr>
          <w:pgSz w:w="11900" w:h="16838" w:orient="portrait"/>
          <w:cols w:equalWidth="0" w:num="1">
            <w:col w:w="10159"/>
          </w:cols>
          <w:pgMar w:left="300" w:top="383" w:right="1440"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579"/>
        <w:spacing w:after="0" w:line="263" w:lineRule="auto"/>
        <w:rPr>
          <w:sz w:val="20"/>
          <w:szCs w:val="20"/>
          <w:color w:val="auto"/>
        </w:rPr>
      </w:pPr>
      <w:r>
        <w:rPr>
          <w:rFonts w:ascii="Times New Roman" w:cs="Times New Roman" w:eastAsia="Times New Roman" w:hAnsi="Times New Roman"/>
          <w:sz w:val="14"/>
          <w:szCs w:val="14"/>
          <w:color w:val="auto"/>
        </w:rPr>
        <w:t>issuance of these shares of Class A common stock or Class B common stock. The issuance of such shares of Class A common stock and Class B common stock was not registered under the Securities Act, because the shares were offered and sold in a transaction by the issuer not involving any public offering exempt from registration under Section 4(a)(2) of the Securities Act.</w:t>
      </w:r>
    </w:p>
    <w:p>
      <w:pPr>
        <w:spacing w:after="0" w:line="136" w:lineRule="exact"/>
        <w:rPr>
          <w:sz w:val="20"/>
          <w:szCs w:val="20"/>
          <w:color w:val="auto"/>
        </w:rPr>
      </w:pPr>
    </w:p>
    <w:p>
      <w:pPr>
        <w:ind w:left="1400" w:right="279" w:firstLine="339"/>
        <w:spacing w:after="0" w:line="258" w:lineRule="auto"/>
        <w:rPr>
          <w:sz w:val="20"/>
          <w:szCs w:val="20"/>
          <w:color w:val="auto"/>
        </w:rPr>
      </w:pPr>
      <w:r>
        <w:rPr>
          <w:rFonts w:ascii="Times New Roman" w:cs="Times New Roman" w:eastAsia="Times New Roman" w:hAnsi="Times New Roman"/>
          <w:sz w:val="14"/>
          <w:szCs w:val="14"/>
          <w:color w:val="auto"/>
        </w:rPr>
        <w:t>On November 6, 2024, in connection with its incorporation, the Registrant issued 10,000 shares of the Registrant’s Class B common stock, par value $0.0001 per share, to Medline Holdings, LP (f/k/a Mozart Holdings, LP), a Delaware limited partnership, for $1.00. The issuance of such shares of Class B common stock was not registered under the Securities Act, because the shares were offered and sold in a transaction by the issuer not involving any public offering exempt from registration under Section 4(a)(2) of the Securities Act.</w:t>
      </w:r>
    </w:p>
    <w:p>
      <w:pPr>
        <w:spacing w:after="0" w:line="2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ITEM 16. EXHIBITS AND FINANCIAL STATEMENT SCHEDULES.</w:t>
      </w:r>
    </w:p>
    <w:p>
      <w:pPr>
        <w:spacing w:after="0" w:line="89" w:lineRule="exact"/>
        <w:rPr>
          <w:sz w:val="20"/>
          <w:szCs w:val="20"/>
          <w:color w:val="auto"/>
        </w:rPr>
      </w:pPr>
    </w:p>
    <w:p>
      <w:pPr>
        <w:ind w:left="1940" w:hanging="199"/>
        <w:spacing w:after="0"/>
        <w:tabs>
          <w:tab w:leader="none" w:pos="1940" w:val="left"/>
        </w:tabs>
        <w:numPr>
          <w:ilvl w:val="0"/>
          <w:numId w:val="53"/>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 xml:space="preserve">Exhibits. </w:t>
      </w:r>
      <w:r>
        <w:rPr>
          <w:rFonts w:ascii="Times New Roman" w:cs="Times New Roman" w:eastAsia="Times New Roman" w:hAnsi="Times New Roman"/>
          <w:sz w:val="14"/>
          <w:szCs w:val="14"/>
          <w:color w:val="auto"/>
        </w:rPr>
        <w:t>See the Exhibit Index immediately preceding the signature pages hereto, which is incorporated by reference as if fully set forth</w:t>
      </w:r>
    </w:p>
    <w:p>
      <w:pPr>
        <w:spacing w:after="0" w:line="22" w:lineRule="exact"/>
        <w:rPr>
          <w:rFonts w:ascii="Times New Roman" w:cs="Times New Roman" w:eastAsia="Times New Roman" w:hAnsi="Times New Roman"/>
          <w:sz w:val="14"/>
          <w:szCs w:val="14"/>
          <w:b w:val="1"/>
          <w:bCs w:val="1"/>
          <w:i w:val="1"/>
          <w:iCs w:val="1"/>
          <w:color w:val="auto"/>
        </w:rPr>
      </w:pPr>
    </w:p>
    <w:p>
      <w:pPr>
        <w:ind w:left="1400"/>
        <w:spacing w:after="0"/>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herein.</w:t>
      </w:r>
    </w:p>
    <w:p>
      <w:pPr>
        <w:spacing w:after="0" w:line="154" w:lineRule="exact"/>
        <w:rPr>
          <w:rFonts w:ascii="Times New Roman" w:cs="Times New Roman" w:eastAsia="Times New Roman" w:hAnsi="Times New Roman"/>
          <w:sz w:val="14"/>
          <w:szCs w:val="14"/>
          <w:b w:val="1"/>
          <w:bCs w:val="1"/>
          <w:i w:val="1"/>
          <w:iCs w:val="1"/>
          <w:color w:val="auto"/>
        </w:rPr>
      </w:pPr>
    </w:p>
    <w:p>
      <w:pPr>
        <w:ind w:left="1400" w:right="319" w:firstLine="341"/>
        <w:spacing w:after="0" w:line="281" w:lineRule="auto"/>
        <w:tabs>
          <w:tab w:leader="none" w:pos="1936" w:val="left"/>
        </w:tabs>
        <w:numPr>
          <w:ilvl w:val="0"/>
          <w:numId w:val="53"/>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 xml:space="preserve">Financial Statement Schedules. </w:t>
      </w:r>
      <w:r>
        <w:rPr>
          <w:rFonts w:ascii="Times New Roman" w:cs="Times New Roman" w:eastAsia="Times New Roman" w:hAnsi="Times New Roman"/>
          <w:sz w:val="14"/>
          <w:szCs w:val="14"/>
          <w:color w:val="auto"/>
        </w:rPr>
        <w:t>Financial statement schedules have been omitted because they are not required, not applicable, or not present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 amounts sufficient to require submission of the schedule.</w:t>
      </w:r>
    </w:p>
    <w:p>
      <w:pPr>
        <w:spacing w:after="0" w:line="20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ITEM 17. UNDERTAKINGS</w:t>
      </w:r>
    </w:p>
    <w:p>
      <w:pPr>
        <w:spacing w:after="0" w:line="101" w:lineRule="exact"/>
        <w:rPr>
          <w:sz w:val="20"/>
          <w:szCs w:val="20"/>
          <w:color w:val="auto"/>
        </w:rPr>
      </w:pPr>
    </w:p>
    <w:p>
      <w:pPr>
        <w:ind w:left="2160" w:right="279" w:hanging="426"/>
        <w:spacing w:after="0" w:line="318" w:lineRule="auto"/>
        <w:tabs>
          <w:tab w:leader="none" w:pos="216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undersigned registrant hereby undertakes to provide to the underwriter at the closing specified in the underwriting agreements certificates in such denominations and registered in such names as required by the underwriter to permit prompt delivery to each purchaser.</w:t>
      </w:r>
    </w:p>
    <w:p>
      <w:pPr>
        <w:spacing w:after="0" w:line="30" w:lineRule="exact"/>
        <w:rPr>
          <w:rFonts w:ascii="Times New Roman" w:cs="Times New Roman" w:eastAsia="Times New Roman" w:hAnsi="Times New Roman"/>
          <w:sz w:val="13"/>
          <w:szCs w:val="13"/>
          <w:color w:val="auto"/>
        </w:rPr>
      </w:pPr>
    </w:p>
    <w:p>
      <w:pPr>
        <w:ind w:left="2160" w:right="319" w:hanging="426"/>
        <w:spacing w:after="0" w:line="251" w:lineRule="auto"/>
        <w:tabs>
          <w:tab w:leader="none" w:pos="21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of 1933 and will be governed by the final adjudication of such issue.</w:t>
      </w:r>
    </w:p>
    <w:p>
      <w:pPr>
        <w:spacing w:after="0" w:line="75" w:lineRule="exact"/>
        <w:rPr>
          <w:rFonts w:ascii="Times New Roman" w:cs="Times New Roman" w:eastAsia="Times New Roman" w:hAnsi="Times New Roman"/>
          <w:sz w:val="14"/>
          <w:szCs w:val="14"/>
          <w:color w:val="auto"/>
        </w:rPr>
      </w:pPr>
    </w:p>
    <w:p>
      <w:pPr>
        <w:ind w:left="2160" w:hanging="426"/>
        <w:spacing w:after="0"/>
        <w:tabs>
          <w:tab w:leader="none" w:pos="21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 that,</w:t>
      </w:r>
    </w:p>
    <w:p>
      <w:pPr>
        <w:spacing w:after="0" w:line="98" w:lineRule="exact"/>
        <w:rPr>
          <w:rFonts w:ascii="Times New Roman" w:cs="Times New Roman" w:eastAsia="Times New Roman" w:hAnsi="Times New Roman"/>
          <w:sz w:val="14"/>
          <w:szCs w:val="14"/>
          <w:color w:val="auto"/>
        </w:rPr>
      </w:pPr>
    </w:p>
    <w:p>
      <w:pPr>
        <w:ind w:left="2500" w:right="299" w:hanging="339"/>
        <w:spacing w:after="0" w:line="258" w:lineRule="auto"/>
        <w:tabs>
          <w:tab w:leader="none" w:pos="2500" w:val="left"/>
        </w:tabs>
        <w:numPr>
          <w:ilvl w:val="1"/>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66" w:lineRule="exact"/>
        <w:rPr>
          <w:rFonts w:ascii="Times New Roman" w:cs="Times New Roman" w:eastAsia="Times New Roman" w:hAnsi="Times New Roman"/>
          <w:sz w:val="14"/>
          <w:szCs w:val="14"/>
          <w:color w:val="auto"/>
        </w:rPr>
      </w:pPr>
    </w:p>
    <w:p>
      <w:pPr>
        <w:ind w:left="2500" w:right="319" w:hanging="339"/>
        <w:spacing w:after="0" w:line="263" w:lineRule="auto"/>
        <w:tabs>
          <w:tab w:leader="none" w:pos="2500" w:val="left"/>
        </w:tabs>
        <w:numPr>
          <w:ilvl w:val="1"/>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63" w:lineRule="exact"/>
        <w:rPr>
          <w:rFonts w:ascii="Times New Roman" w:cs="Times New Roman" w:eastAsia="Times New Roman" w:hAnsi="Times New Roman"/>
          <w:sz w:val="14"/>
          <w:szCs w:val="14"/>
          <w:color w:val="auto"/>
        </w:rPr>
      </w:pPr>
    </w:p>
    <w:p>
      <w:pPr>
        <w:ind w:left="2500" w:right="419" w:hanging="339"/>
        <w:spacing w:after="0" w:line="263" w:lineRule="auto"/>
        <w:tabs>
          <w:tab w:leader="none" w:pos="2500" w:val="left"/>
        </w:tabs>
        <w:numPr>
          <w:ilvl w:val="1"/>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purpose of determining liability under the Securities Act of 1933 to any purchaser, if the registrant is subject to Rule 430C, each prospectus filed pursuant to Rule 424(b) as part of a registration statement relating to an offering, other than registration statements relying on Rule</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II-3</w:t>
      </w:r>
    </w:p>
    <w:p>
      <w:pPr>
        <w:sectPr>
          <w:pgSz w:w="11900" w:h="16838" w:orient="portrait"/>
          <w:cols w:equalWidth="0" w:num="1">
            <w:col w:w="10159"/>
          </w:cols>
          <w:pgMar w:left="300" w:top="383" w:right="1440"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2500" w:right="299"/>
        <w:spacing w:after="0" w:line="254" w:lineRule="auto"/>
        <w:rPr>
          <w:sz w:val="20"/>
          <w:szCs w:val="20"/>
          <w:color w:val="auto"/>
        </w:rPr>
      </w:pPr>
      <w:r>
        <w:rPr>
          <w:rFonts w:ascii="Times New Roman" w:cs="Times New Roman" w:eastAsia="Times New Roman" w:hAnsi="Times New Roman"/>
          <w:sz w:val="14"/>
          <w:szCs w:val="14"/>
          <w:color w:val="auto"/>
        </w:rPr>
        <w:t>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70" w:lineRule="exact"/>
        <w:rPr>
          <w:sz w:val="20"/>
          <w:szCs w:val="20"/>
          <w:color w:val="auto"/>
        </w:rPr>
      </w:pPr>
    </w:p>
    <w:p>
      <w:pPr>
        <w:ind w:left="2500" w:right="319" w:hanging="339"/>
        <w:spacing w:after="0" w:line="255" w:lineRule="auto"/>
        <w:tabs>
          <w:tab w:leader="none" w:pos="250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0" w:lineRule="exact"/>
        <w:rPr>
          <w:rFonts w:ascii="Times New Roman" w:cs="Times New Roman" w:eastAsia="Times New Roman" w:hAnsi="Times New Roman"/>
          <w:sz w:val="14"/>
          <w:szCs w:val="14"/>
          <w:color w:val="auto"/>
        </w:rPr>
      </w:pPr>
    </w:p>
    <w:p>
      <w:pPr>
        <w:ind w:left="2920" w:right="399" w:hanging="416"/>
        <w:spacing w:after="0" w:line="278" w:lineRule="auto"/>
        <w:tabs>
          <w:tab w:leader="none" w:pos="2920" w:val="left"/>
        </w:tabs>
        <w:numPr>
          <w:ilvl w:val="1"/>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w:t>
      </w:r>
    </w:p>
    <w:p>
      <w:pPr>
        <w:spacing w:after="0" w:line="53" w:lineRule="exact"/>
        <w:rPr>
          <w:rFonts w:ascii="Times New Roman" w:cs="Times New Roman" w:eastAsia="Times New Roman" w:hAnsi="Times New Roman"/>
          <w:sz w:val="14"/>
          <w:szCs w:val="14"/>
          <w:color w:val="auto"/>
        </w:rPr>
      </w:pPr>
    </w:p>
    <w:p>
      <w:pPr>
        <w:ind w:left="2920" w:right="319" w:hanging="416"/>
        <w:spacing w:after="0" w:line="278" w:lineRule="auto"/>
        <w:tabs>
          <w:tab w:leader="none" w:pos="2920" w:val="left"/>
        </w:tabs>
        <w:numPr>
          <w:ilvl w:val="1"/>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53" w:lineRule="exact"/>
        <w:rPr>
          <w:rFonts w:ascii="Times New Roman" w:cs="Times New Roman" w:eastAsia="Times New Roman" w:hAnsi="Times New Roman"/>
          <w:sz w:val="14"/>
          <w:szCs w:val="14"/>
          <w:color w:val="auto"/>
        </w:rPr>
      </w:pPr>
    </w:p>
    <w:p>
      <w:pPr>
        <w:ind w:left="2920" w:right="939" w:hanging="416"/>
        <w:spacing w:after="0" w:line="278" w:lineRule="auto"/>
        <w:tabs>
          <w:tab w:leader="none" w:pos="2920" w:val="left"/>
        </w:tabs>
        <w:numPr>
          <w:ilvl w:val="1"/>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53" w:lineRule="exact"/>
        <w:rPr>
          <w:rFonts w:ascii="Times New Roman" w:cs="Times New Roman" w:eastAsia="Times New Roman" w:hAnsi="Times New Roman"/>
          <w:sz w:val="14"/>
          <w:szCs w:val="14"/>
          <w:color w:val="auto"/>
        </w:rPr>
      </w:pPr>
    </w:p>
    <w:p>
      <w:pPr>
        <w:ind w:left="2920" w:hanging="416"/>
        <w:spacing w:after="0"/>
        <w:tabs>
          <w:tab w:leader="none" w:pos="2920" w:val="left"/>
        </w:tabs>
        <w:numPr>
          <w:ilvl w:val="1"/>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12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II-4</w:t>
      </w:r>
    </w:p>
    <w:p>
      <w:pPr>
        <w:sectPr>
          <w:pgSz w:w="11900" w:h="16838" w:orient="portrait"/>
          <w:cols w:equalWidth="0" w:num="1">
            <w:col w:w="10159"/>
          </w:cols>
          <w:pgMar w:left="300" w:top="383" w:right="1440"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tbl>
      <w:tblPr>
        <w:tblLayout w:type="fixed"/>
        <w:tblInd w:w="1440" w:type="dxa"/>
        <w:tblCellMar>
          <w:top w:w="0" w:type="dxa"/>
          <w:left w:w="0" w:type="dxa"/>
          <w:bottom w:w="0" w:type="dxa"/>
          <w:right w:w="0" w:type="dxa"/>
        </w:tblCellMar>
      </w:tblPr>
      <w:tr>
        <w:trPr>
          <w:trHeight w:val="183"/>
        </w:trPr>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720" w:type="dxa"/>
            <w:vAlign w:val="bottom"/>
          </w:tcPr>
          <w:p>
            <w:pPr>
              <w:ind w:left="2920"/>
              <w:spacing w:after="0"/>
              <w:rPr>
                <w:sz w:val="20"/>
                <w:szCs w:val="20"/>
                <w:color w:val="auto"/>
              </w:rPr>
            </w:pPr>
            <w:r>
              <w:rPr>
                <w:rFonts w:ascii="Times New Roman" w:cs="Times New Roman" w:eastAsia="Times New Roman" w:hAnsi="Times New Roman"/>
                <w:sz w:val="14"/>
                <w:szCs w:val="14"/>
                <w:b w:val="1"/>
                <w:bCs w:val="1"/>
                <w:color w:val="auto"/>
              </w:rPr>
              <w:t>EXHIBIT INDEX</w:t>
            </w:r>
          </w:p>
        </w:tc>
        <w:tc>
          <w:tcPr>
            <w:tcW w:w="0" w:type="dxa"/>
            <w:vAlign w:val="bottom"/>
          </w:tcPr>
          <w:p>
            <w:pPr>
              <w:spacing w:after="0"/>
              <w:rPr>
                <w:sz w:val="1"/>
                <w:szCs w:val="1"/>
                <w:color w:val="auto"/>
              </w:rPr>
            </w:pPr>
          </w:p>
        </w:tc>
      </w:tr>
      <w:tr>
        <w:trPr>
          <w:trHeight w:val="282"/>
        </w:trPr>
        <w:tc>
          <w:tcPr>
            <w:tcW w:w="740" w:type="dxa"/>
            <w:vAlign w:val="bottom"/>
            <w:gridSpan w:val="3"/>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7720" w:type="dxa"/>
            <w:vAlign w:val="bottom"/>
            <w:vMerge w:val="restart"/>
          </w:tcPr>
          <w:p>
            <w:pPr>
              <w:ind w:left="358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34"/>
        </w:trPr>
        <w:tc>
          <w:tcPr>
            <w:tcW w:w="100" w:type="dxa"/>
            <w:vAlign w:val="bottom"/>
          </w:tcPr>
          <w:p>
            <w:pPr>
              <w:spacing w:after="0"/>
              <w:rPr>
                <w:sz w:val="11"/>
                <w:szCs w:val="11"/>
                <w:color w:val="auto"/>
              </w:rPr>
            </w:pPr>
          </w:p>
        </w:tc>
        <w:tc>
          <w:tcPr>
            <w:tcW w:w="640" w:type="dxa"/>
            <w:vAlign w:val="bottom"/>
            <w:gridSpan w:val="2"/>
          </w:tcPr>
          <w:p>
            <w:pPr>
              <w:jc w:val="center"/>
              <w:ind w:right="480"/>
              <w:spacing w:after="0"/>
              <w:rPr>
                <w:sz w:val="20"/>
                <w:szCs w:val="20"/>
                <w:color w:val="auto"/>
              </w:rPr>
            </w:pPr>
            <w:r>
              <w:rPr>
                <w:rFonts w:ascii="Times New Roman" w:cs="Times New Roman" w:eastAsia="Times New Roman" w:hAnsi="Times New Roman"/>
                <w:sz w:val="11"/>
                <w:szCs w:val="11"/>
                <w:b w:val="1"/>
                <w:bCs w:val="1"/>
                <w:color w:val="auto"/>
                <w:w w:val="98"/>
              </w:rPr>
              <w:t>No.</w:t>
            </w:r>
          </w:p>
        </w:tc>
        <w:tc>
          <w:tcPr>
            <w:tcW w:w="7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ind w:left="1480" w:hanging="78"/>
        <w:spacing w:after="0"/>
        <w:tabs>
          <w:tab w:leader="none" w:pos="148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1.1</w:t>
      </w:r>
      <w:r>
        <w:rPr>
          <w:rFonts w:ascii="Times New Roman" w:cs="Times New Roman" w:eastAsia="Times New Roman" w:hAnsi="Times New Roman"/>
          <w:sz w:val="13"/>
          <w:szCs w:val="13"/>
          <w:u w:val="single" w:color="auto"/>
          <w:color w:val="0000EE"/>
        </w:rPr>
        <w:t>Form of Underwriting Agreement</w:t>
      </w:r>
    </w:p>
    <w:p>
      <w:pPr>
        <w:spacing w:after="0" w:line="77" w:lineRule="exact"/>
        <w:rPr>
          <w:sz w:val="20"/>
          <w:szCs w:val="20"/>
          <w:color w:val="auto"/>
        </w:rPr>
      </w:pPr>
    </w:p>
    <w:tbl>
      <w:tblPr>
        <w:tblLayout w:type="fixed"/>
        <w:tblInd w:w="1400" w:type="dxa"/>
        <w:tblCellMar>
          <w:top w:w="0" w:type="dxa"/>
          <w:left w:w="0" w:type="dxa"/>
          <w:bottom w:w="0" w:type="dxa"/>
          <w:right w:w="0" w:type="dxa"/>
        </w:tblCellMar>
      </w:tblPr>
      <w:tr>
        <w:trPr>
          <w:trHeight w:val="161"/>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    3.1</w:t>
            </w:r>
          </w:p>
        </w:tc>
        <w:tc>
          <w:tcPr>
            <w:tcW w:w="7600" w:type="dxa"/>
            <w:vAlign w:val="bottom"/>
            <w:tcBorders>
              <w:bottom w:val="single" w:sz="8" w:color="0000EE"/>
            </w:tcBorders>
            <w:gridSpan w:val="3"/>
          </w:tcPr>
          <w:p>
            <w:pPr>
              <w:spacing w:after="0"/>
              <w:rPr>
                <w:rFonts w:ascii="Times New Roman" w:cs="Times New Roman" w:eastAsia="Times New Roman" w:hAnsi="Times New Roman"/>
                <w:sz w:val="14"/>
                <w:szCs w:val="14"/>
                <w:color w:val="0000EE"/>
                <w:w w:val="98"/>
              </w:rPr>
            </w:pPr>
            <w:hyperlink r:id="rId142">
              <w:r>
                <w:rPr>
                  <w:rFonts w:ascii="Times New Roman" w:cs="Times New Roman" w:eastAsia="Times New Roman" w:hAnsi="Times New Roman"/>
                  <w:sz w:val="14"/>
                  <w:szCs w:val="14"/>
                  <w:color w:val="0000EE"/>
                  <w:w w:val="98"/>
                </w:rPr>
                <w:t>Amended and Restated Certificate of Incorporation of the Registrant (incorporated by reference to Exhibit 3.1 to the Registrant’s Current</w:t>
              </w:r>
            </w:hyperlink>
          </w:p>
        </w:tc>
        <w:tc>
          <w:tcPr>
            <w:tcW w:w="60" w:type="dxa"/>
            <w:vAlign w:val="bottom"/>
          </w:tcPr>
          <w:p>
            <w:pPr>
              <w:spacing w:after="0"/>
              <w:rPr>
                <w:sz w:val="13"/>
                <w:szCs w:val="13"/>
                <w:color w:val="auto"/>
              </w:rPr>
            </w:pPr>
          </w:p>
        </w:tc>
      </w:tr>
      <w:tr>
        <w:trPr>
          <w:trHeight w:val="146"/>
        </w:trPr>
        <w:tc>
          <w:tcPr>
            <w:tcW w:w="780" w:type="dxa"/>
            <w:vAlign w:val="bottom"/>
          </w:tcPr>
          <w:p>
            <w:pPr>
              <w:spacing w:after="0"/>
              <w:rPr>
                <w:sz w:val="12"/>
                <w:szCs w:val="12"/>
                <w:color w:val="auto"/>
              </w:rPr>
            </w:pPr>
          </w:p>
        </w:tc>
        <w:tc>
          <w:tcPr>
            <w:tcW w:w="3980" w:type="dxa"/>
            <w:vAlign w:val="bottom"/>
            <w:tcBorders>
              <w:bottom w:val="single" w:sz="8" w:color="0000EE"/>
            </w:tcBorders>
            <w:gridSpan w:val="2"/>
          </w:tcPr>
          <w:p>
            <w:pPr>
              <w:spacing w:after="0" w:line="147" w:lineRule="exact"/>
              <w:rPr>
                <w:rFonts w:ascii="Times New Roman" w:cs="Times New Roman" w:eastAsia="Times New Roman" w:hAnsi="Times New Roman"/>
                <w:sz w:val="14"/>
                <w:szCs w:val="14"/>
                <w:color w:val="0000EE"/>
                <w:w w:val="98"/>
              </w:rPr>
            </w:pPr>
            <w:hyperlink r:id="rId142">
              <w:r>
                <w:rPr>
                  <w:rFonts w:ascii="Times New Roman" w:cs="Times New Roman" w:eastAsia="Times New Roman" w:hAnsi="Times New Roman"/>
                  <w:sz w:val="14"/>
                  <w:szCs w:val="14"/>
                  <w:color w:val="0000EE"/>
                  <w:w w:val="98"/>
                </w:rPr>
                <w:t>Report on Form 8-K filed on December 22, 2025 (File No. 001-43022))</w:t>
              </w:r>
            </w:hyperlink>
          </w:p>
        </w:tc>
        <w:tc>
          <w:tcPr>
            <w:tcW w:w="3680" w:type="dxa"/>
            <w:vAlign w:val="bottom"/>
            <w:gridSpan w:val="2"/>
          </w:tcPr>
          <w:p>
            <w:pPr>
              <w:spacing w:after="0"/>
              <w:rPr>
                <w:sz w:val="12"/>
                <w:szCs w:val="12"/>
                <w:color w:val="auto"/>
              </w:rPr>
            </w:pPr>
          </w:p>
        </w:tc>
      </w:tr>
      <w:tr>
        <w:trPr>
          <w:trHeight w:val="230"/>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    3.2</w:t>
            </w:r>
          </w:p>
        </w:tc>
        <w:tc>
          <w:tcPr>
            <w:tcW w:w="7660" w:type="dxa"/>
            <w:vAlign w:val="bottom"/>
            <w:tcBorders>
              <w:bottom w:val="single" w:sz="8" w:color="0000EE"/>
            </w:tcBorders>
            <w:gridSpan w:val="4"/>
          </w:tcPr>
          <w:p>
            <w:pPr>
              <w:spacing w:after="0"/>
              <w:rPr>
                <w:rFonts w:ascii="Times New Roman" w:cs="Times New Roman" w:eastAsia="Times New Roman" w:hAnsi="Times New Roman"/>
                <w:sz w:val="14"/>
                <w:szCs w:val="14"/>
                <w:color w:val="0000EE"/>
                <w:w w:val="98"/>
              </w:rPr>
            </w:pPr>
            <w:hyperlink r:id="rId143">
              <w:r>
                <w:rPr>
                  <w:rFonts w:ascii="Times New Roman" w:cs="Times New Roman" w:eastAsia="Times New Roman" w:hAnsi="Times New Roman"/>
                  <w:sz w:val="14"/>
                  <w:szCs w:val="14"/>
                  <w:color w:val="0000EE"/>
                  <w:w w:val="98"/>
                </w:rPr>
                <w:t>Amended and Restated Bylaws of the Registrant (incorporated by reference to Exhibit 3.2 to the Registrant’s Current Report on Form 8-K</w:t>
              </w:r>
            </w:hyperlink>
          </w:p>
        </w:tc>
      </w:tr>
      <w:tr>
        <w:trPr>
          <w:trHeight w:val="146"/>
        </w:trPr>
        <w:tc>
          <w:tcPr>
            <w:tcW w:w="780" w:type="dxa"/>
            <w:vAlign w:val="bottom"/>
          </w:tcPr>
          <w:p>
            <w:pPr>
              <w:spacing w:after="0"/>
              <w:rPr>
                <w:sz w:val="12"/>
                <w:szCs w:val="12"/>
                <w:color w:val="auto"/>
              </w:rPr>
            </w:pPr>
          </w:p>
        </w:tc>
        <w:tc>
          <w:tcPr>
            <w:tcW w:w="7660" w:type="dxa"/>
            <w:vAlign w:val="bottom"/>
            <w:gridSpan w:val="4"/>
          </w:tcPr>
          <w:p>
            <w:pPr>
              <w:spacing w:after="0" w:line="147" w:lineRule="exact"/>
              <w:rPr>
                <w:rFonts w:ascii="Times New Roman" w:cs="Times New Roman" w:eastAsia="Times New Roman" w:hAnsi="Times New Roman"/>
                <w:sz w:val="14"/>
                <w:szCs w:val="14"/>
                <w:color w:val="0000EE"/>
              </w:rPr>
            </w:pPr>
            <w:hyperlink r:id="rId143">
              <w:r>
                <w:rPr>
                  <w:rFonts w:ascii="Times New Roman" w:cs="Times New Roman" w:eastAsia="Times New Roman" w:hAnsi="Times New Roman"/>
                  <w:sz w:val="14"/>
                  <w:szCs w:val="14"/>
                  <w:color w:val="0000EE"/>
                </w:rPr>
                <w:t>filed on December 22, 2025 (File No. 001-43022))</w:t>
              </w:r>
            </w:hyperlink>
          </w:p>
        </w:tc>
      </w:tr>
      <w:tr>
        <w:trPr>
          <w:trHeight w:val="20"/>
        </w:trPr>
        <w:tc>
          <w:tcPr>
            <w:tcW w:w="780" w:type="dxa"/>
            <w:vAlign w:val="bottom"/>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89" w:lineRule="exact"/>
        <w:rPr>
          <w:sz w:val="20"/>
          <w:szCs w:val="20"/>
          <w:color w:val="auto"/>
        </w:rPr>
      </w:pPr>
    </w:p>
    <w:p>
      <w:pPr>
        <w:ind w:left="2180" w:right="459" w:hanging="778"/>
        <w:spacing w:after="0" w:line="263" w:lineRule="auto"/>
        <w:tabs>
          <w:tab w:leader="none" w:pos="1480" w:val="left"/>
        </w:tabs>
        <w:numPr>
          <w:ilvl w:val="0"/>
          <w:numId w:val="57"/>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4.1</w:t>
      </w:r>
      <w:hyperlink r:id="rId144">
        <w:r>
          <w:rPr>
            <w:rFonts w:ascii="Times New Roman" w:cs="Times New Roman" w:eastAsia="Times New Roman" w:hAnsi="Times New Roman"/>
            <w:sz w:val="14"/>
            <w:szCs w:val="14"/>
            <w:u w:val="single" w:color="auto"/>
            <w:color w:val="0000EE"/>
          </w:rPr>
          <w:t>Indenture, dated as of October 15, 2021, by and between Mozart Debt Merger Sub Inc. and Wilmington Trust, National Association as</w:t>
        </w:r>
      </w:hyperlink>
      <w:r>
        <w:rPr>
          <w:rFonts w:ascii="Times New Roman" w:cs="Times New Roman" w:eastAsia="Times New Roman" w:hAnsi="Times New Roman"/>
          <w:sz w:val="14"/>
          <w:szCs w:val="14"/>
          <w:u w:val="single" w:color="auto"/>
          <w:color w:val="0000EE"/>
        </w:rPr>
        <w:t xml:space="preserve"> </w:t>
      </w:r>
      <w:hyperlink r:id="rId144">
        <w:r>
          <w:rPr>
            <w:rFonts w:ascii="Times New Roman" w:cs="Times New Roman" w:eastAsia="Times New Roman" w:hAnsi="Times New Roman"/>
            <w:sz w:val="14"/>
            <w:szCs w:val="14"/>
            <w:u w:val="single" w:color="auto"/>
            <w:color w:val="0000EE"/>
          </w:rPr>
          <w:t>trustee, paying agent, transfer agent and registrar (incorporated by reference to Exhibit 4.1 to the Registrant’s Registration Statement on</w:t>
        </w:r>
      </w:hyperlink>
      <w:r>
        <w:rPr>
          <w:rFonts w:ascii="Times New Roman" w:cs="Times New Roman" w:eastAsia="Times New Roman" w:hAnsi="Times New Roman"/>
          <w:sz w:val="14"/>
          <w:szCs w:val="14"/>
          <w:u w:val="single" w:color="auto"/>
          <w:color w:val="0000EE"/>
        </w:rPr>
        <w:t xml:space="preserve"> </w:t>
      </w:r>
      <w:hyperlink r:id="rId144">
        <w:r>
          <w:rPr>
            <w:rFonts w:ascii="Times New Roman" w:cs="Times New Roman" w:eastAsia="Times New Roman" w:hAnsi="Times New Roman"/>
            <w:sz w:val="14"/>
            <w:szCs w:val="14"/>
            <w:u w:val="single" w:color="auto"/>
            <w:color w:val="0000EE"/>
          </w:rPr>
          <w:t>Form S-1 filed on October 28, 2025 (File No. 333-291112))</w:t>
        </w:r>
      </w:hyperlink>
    </w:p>
    <w:p>
      <w:pPr>
        <w:spacing w:after="0" w:line="53" w:lineRule="exact"/>
        <w:rPr>
          <w:rFonts w:ascii="Times New Roman" w:cs="Times New Roman" w:eastAsia="Times New Roman" w:hAnsi="Times New Roman"/>
          <w:sz w:val="14"/>
          <w:szCs w:val="14"/>
          <w:u w:val="single" w:color="auto"/>
          <w:color w:val="0000EE"/>
        </w:rPr>
      </w:pPr>
    </w:p>
    <w:p>
      <w:pPr>
        <w:ind w:left="2180" w:right="359" w:hanging="778"/>
        <w:spacing w:after="0" w:line="263" w:lineRule="auto"/>
        <w:tabs>
          <w:tab w:leader="none" w:pos="1480" w:val="left"/>
        </w:tabs>
        <w:numPr>
          <w:ilvl w:val="0"/>
          <w:numId w:val="57"/>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4.2</w:t>
      </w:r>
      <w:hyperlink r:id="rId145">
        <w:r>
          <w:rPr>
            <w:rFonts w:ascii="Times New Roman" w:cs="Times New Roman" w:eastAsia="Times New Roman" w:hAnsi="Times New Roman"/>
            <w:sz w:val="14"/>
            <w:szCs w:val="14"/>
            <w:u w:val="single" w:color="auto"/>
            <w:color w:val="0000EE"/>
          </w:rPr>
          <w:t>First Supplemental Indenture, dated as of October 21, 2021, among each of the subsidiaries of Medline Borrower, LP listed thereto and</w:t>
        </w:r>
      </w:hyperlink>
      <w:r>
        <w:rPr>
          <w:rFonts w:ascii="Times New Roman" w:cs="Times New Roman" w:eastAsia="Times New Roman" w:hAnsi="Times New Roman"/>
          <w:sz w:val="14"/>
          <w:szCs w:val="14"/>
          <w:u w:val="single" w:color="auto"/>
          <w:color w:val="0000EE"/>
        </w:rPr>
        <w:t xml:space="preserve"> </w:t>
      </w:r>
      <w:hyperlink r:id="rId145">
        <w:r>
          <w:rPr>
            <w:rFonts w:ascii="Times New Roman" w:cs="Times New Roman" w:eastAsia="Times New Roman" w:hAnsi="Times New Roman"/>
            <w:sz w:val="14"/>
            <w:szCs w:val="14"/>
            <w:u w:val="single" w:color="auto"/>
            <w:color w:val="0000EE"/>
          </w:rPr>
          <w:t>Wilmington Trust, National Association, as trustee (incorporated by reference to Exhibit 4.2 to the Registrant’s Registration Statement on</w:t>
        </w:r>
      </w:hyperlink>
      <w:r>
        <w:rPr>
          <w:rFonts w:ascii="Times New Roman" w:cs="Times New Roman" w:eastAsia="Times New Roman" w:hAnsi="Times New Roman"/>
          <w:sz w:val="14"/>
          <w:szCs w:val="14"/>
          <w:u w:val="single" w:color="auto"/>
          <w:color w:val="0000EE"/>
        </w:rPr>
        <w:t xml:space="preserve"> </w:t>
      </w:r>
      <w:hyperlink r:id="rId145">
        <w:r>
          <w:rPr>
            <w:rFonts w:ascii="Times New Roman" w:cs="Times New Roman" w:eastAsia="Times New Roman" w:hAnsi="Times New Roman"/>
            <w:sz w:val="14"/>
            <w:szCs w:val="14"/>
            <w:u w:val="single" w:color="auto"/>
            <w:color w:val="0000EE"/>
          </w:rPr>
          <w:t>Form S-1 filed on October 28, 2025 (File No. 333-291112))</w:t>
        </w:r>
      </w:hyperlink>
    </w:p>
    <w:p>
      <w:pPr>
        <w:spacing w:after="0" w:line="53" w:lineRule="exact"/>
        <w:rPr>
          <w:rFonts w:ascii="Times New Roman" w:cs="Times New Roman" w:eastAsia="Times New Roman" w:hAnsi="Times New Roman"/>
          <w:sz w:val="14"/>
          <w:szCs w:val="14"/>
          <w:u w:val="single" w:color="auto"/>
          <w:color w:val="0000EE"/>
        </w:rPr>
      </w:pPr>
    </w:p>
    <w:p>
      <w:pPr>
        <w:ind w:left="2180" w:right="359" w:hanging="778"/>
        <w:spacing w:after="0" w:line="263" w:lineRule="auto"/>
        <w:tabs>
          <w:tab w:leader="none" w:pos="1480" w:val="left"/>
        </w:tabs>
        <w:numPr>
          <w:ilvl w:val="0"/>
          <w:numId w:val="57"/>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4.3</w:t>
      </w:r>
      <w:hyperlink r:id="rId146">
        <w:r>
          <w:rPr>
            <w:rFonts w:ascii="Times New Roman" w:cs="Times New Roman" w:eastAsia="Times New Roman" w:hAnsi="Times New Roman"/>
            <w:sz w:val="14"/>
            <w:szCs w:val="14"/>
            <w:u w:val="single" w:color="auto"/>
            <w:color w:val="0000EE"/>
          </w:rPr>
          <w:t>Second Supplemental Indenture, dated as of July 19, 2024, among each of the subsidiaries of Medline Borrower, LP listed thereto and</w:t>
        </w:r>
      </w:hyperlink>
      <w:r>
        <w:rPr>
          <w:rFonts w:ascii="Times New Roman" w:cs="Times New Roman" w:eastAsia="Times New Roman" w:hAnsi="Times New Roman"/>
          <w:sz w:val="14"/>
          <w:szCs w:val="14"/>
          <w:u w:val="single" w:color="auto"/>
          <w:color w:val="0000EE"/>
        </w:rPr>
        <w:t xml:space="preserve"> </w:t>
      </w:r>
      <w:hyperlink r:id="rId146">
        <w:r>
          <w:rPr>
            <w:rFonts w:ascii="Times New Roman" w:cs="Times New Roman" w:eastAsia="Times New Roman" w:hAnsi="Times New Roman"/>
            <w:sz w:val="14"/>
            <w:szCs w:val="14"/>
            <w:u w:val="single" w:color="auto"/>
            <w:color w:val="0000EE"/>
          </w:rPr>
          <w:t>Wilmington Trust, National Association, as trustee (incorporated by reference to Exhibit 4.3 to the Registrant’s Registration Statement on</w:t>
        </w:r>
      </w:hyperlink>
      <w:r>
        <w:rPr>
          <w:rFonts w:ascii="Times New Roman" w:cs="Times New Roman" w:eastAsia="Times New Roman" w:hAnsi="Times New Roman"/>
          <w:sz w:val="14"/>
          <w:szCs w:val="14"/>
          <w:u w:val="single" w:color="auto"/>
          <w:color w:val="0000EE"/>
        </w:rPr>
        <w:t xml:space="preserve"> </w:t>
      </w:r>
      <w:hyperlink r:id="rId146">
        <w:r>
          <w:rPr>
            <w:rFonts w:ascii="Times New Roman" w:cs="Times New Roman" w:eastAsia="Times New Roman" w:hAnsi="Times New Roman"/>
            <w:sz w:val="14"/>
            <w:szCs w:val="14"/>
            <w:u w:val="single" w:color="auto"/>
            <w:color w:val="0000EE"/>
          </w:rPr>
          <w:t>Form S-1 filed on October 28, 2025 (File No. 333-291112))</w:t>
        </w:r>
      </w:hyperlink>
    </w:p>
    <w:p>
      <w:pPr>
        <w:spacing w:after="0" w:line="53" w:lineRule="exact"/>
        <w:rPr>
          <w:rFonts w:ascii="Times New Roman" w:cs="Times New Roman" w:eastAsia="Times New Roman" w:hAnsi="Times New Roman"/>
          <w:sz w:val="14"/>
          <w:szCs w:val="14"/>
          <w:u w:val="single" w:color="auto"/>
          <w:color w:val="0000EE"/>
        </w:rPr>
      </w:pPr>
    </w:p>
    <w:p>
      <w:pPr>
        <w:ind w:left="2180" w:right="279" w:hanging="778"/>
        <w:spacing w:after="0" w:line="263" w:lineRule="auto"/>
        <w:tabs>
          <w:tab w:leader="none" w:pos="1480" w:val="left"/>
        </w:tabs>
        <w:numPr>
          <w:ilvl w:val="0"/>
          <w:numId w:val="57"/>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4.4</w:t>
      </w:r>
      <w:hyperlink r:id="rId147">
        <w:r>
          <w:rPr>
            <w:rFonts w:ascii="Times New Roman" w:cs="Times New Roman" w:eastAsia="Times New Roman" w:hAnsi="Times New Roman"/>
            <w:sz w:val="14"/>
            <w:szCs w:val="14"/>
            <w:u w:val="single" w:color="auto"/>
            <w:color w:val="0000EE"/>
          </w:rPr>
          <w:t>Third Supplemental Indenture, dated as of December 20, 2024, among each of the subsidiaries of Medline Borrower, LP listed thereto and</w:t>
        </w:r>
      </w:hyperlink>
      <w:r>
        <w:rPr>
          <w:rFonts w:ascii="Times New Roman" w:cs="Times New Roman" w:eastAsia="Times New Roman" w:hAnsi="Times New Roman"/>
          <w:sz w:val="14"/>
          <w:szCs w:val="14"/>
          <w:u w:val="single" w:color="auto"/>
          <w:color w:val="0000EE"/>
        </w:rPr>
        <w:t xml:space="preserve"> </w:t>
      </w:r>
      <w:hyperlink r:id="rId147">
        <w:r>
          <w:rPr>
            <w:rFonts w:ascii="Times New Roman" w:cs="Times New Roman" w:eastAsia="Times New Roman" w:hAnsi="Times New Roman"/>
            <w:sz w:val="14"/>
            <w:szCs w:val="14"/>
            <w:u w:val="single" w:color="auto"/>
            <w:color w:val="0000EE"/>
          </w:rPr>
          <w:t>Wilmington Trust, National Association, as trustee (incorporated by reference to Exhibit 4.4 to the Registrant’s Registration Statement on</w:t>
        </w:r>
      </w:hyperlink>
      <w:r>
        <w:rPr>
          <w:rFonts w:ascii="Times New Roman" w:cs="Times New Roman" w:eastAsia="Times New Roman" w:hAnsi="Times New Roman"/>
          <w:sz w:val="14"/>
          <w:szCs w:val="14"/>
          <w:u w:val="single" w:color="auto"/>
          <w:color w:val="0000EE"/>
        </w:rPr>
        <w:t xml:space="preserve"> </w:t>
      </w:r>
      <w:hyperlink r:id="rId147">
        <w:r>
          <w:rPr>
            <w:rFonts w:ascii="Times New Roman" w:cs="Times New Roman" w:eastAsia="Times New Roman" w:hAnsi="Times New Roman"/>
            <w:sz w:val="14"/>
            <w:szCs w:val="14"/>
            <w:u w:val="single" w:color="auto"/>
            <w:color w:val="0000EE"/>
          </w:rPr>
          <w:t>Form S-1 filed on October 28, 2025 (File No. 333-291112))</w:t>
        </w:r>
      </w:hyperlink>
    </w:p>
    <w:p>
      <w:pPr>
        <w:spacing w:after="0" w:line="53" w:lineRule="exact"/>
        <w:rPr>
          <w:rFonts w:ascii="Times New Roman" w:cs="Times New Roman" w:eastAsia="Times New Roman" w:hAnsi="Times New Roman"/>
          <w:sz w:val="14"/>
          <w:szCs w:val="14"/>
          <w:u w:val="single" w:color="auto"/>
          <w:color w:val="0000EE"/>
        </w:rPr>
      </w:pPr>
    </w:p>
    <w:p>
      <w:pPr>
        <w:ind w:left="2180" w:right="419" w:hanging="778"/>
        <w:spacing w:after="0" w:line="263" w:lineRule="auto"/>
        <w:tabs>
          <w:tab w:leader="none" w:pos="1480" w:val="left"/>
        </w:tabs>
        <w:numPr>
          <w:ilvl w:val="0"/>
          <w:numId w:val="57"/>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4.5</w:t>
      </w:r>
      <w:hyperlink r:id="rId148">
        <w:r>
          <w:rPr>
            <w:rFonts w:ascii="Times New Roman" w:cs="Times New Roman" w:eastAsia="Times New Roman" w:hAnsi="Times New Roman"/>
            <w:sz w:val="14"/>
            <w:szCs w:val="14"/>
            <w:u w:val="single" w:color="auto"/>
            <w:color w:val="0000EE"/>
          </w:rPr>
          <w:t>Indenture, dated as of October 15, 2021, among Mozart Debt Merger Sub Inc. and Wilmington Trust, National Association as trustee,</w:t>
        </w:r>
      </w:hyperlink>
      <w:r>
        <w:rPr>
          <w:rFonts w:ascii="Times New Roman" w:cs="Times New Roman" w:eastAsia="Times New Roman" w:hAnsi="Times New Roman"/>
          <w:sz w:val="14"/>
          <w:szCs w:val="14"/>
          <w:u w:val="single" w:color="auto"/>
          <w:color w:val="0000EE"/>
        </w:rPr>
        <w:t xml:space="preserve"> </w:t>
      </w:r>
      <w:hyperlink r:id="rId148">
        <w:r>
          <w:rPr>
            <w:rFonts w:ascii="Times New Roman" w:cs="Times New Roman" w:eastAsia="Times New Roman" w:hAnsi="Times New Roman"/>
            <w:sz w:val="14"/>
            <w:szCs w:val="14"/>
            <w:u w:val="single" w:color="auto"/>
            <w:color w:val="0000EE"/>
          </w:rPr>
          <w:t>paying agent, transfer agent, registrar and notes collateral agent (incorporated by reference to Exhibit 4.5 to the Registrant’s Registration</w:t>
        </w:r>
      </w:hyperlink>
      <w:r>
        <w:rPr>
          <w:rFonts w:ascii="Times New Roman" w:cs="Times New Roman" w:eastAsia="Times New Roman" w:hAnsi="Times New Roman"/>
          <w:sz w:val="14"/>
          <w:szCs w:val="14"/>
          <w:u w:val="single" w:color="auto"/>
          <w:color w:val="0000EE"/>
        </w:rPr>
        <w:t xml:space="preserve"> </w:t>
      </w:r>
      <w:hyperlink r:id="rId148">
        <w:r>
          <w:rPr>
            <w:rFonts w:ascii="Times New Roman" w:cs="Times New Roman" w:eastAsia="Times New Roman" w:hAnsi="Times New Roman"/>
            <w:sz w:val="14"/>
            <w:szCs w:val="14"/>
            <w:u w:val="single" w:color="auto"/>
            <w:color w:val="0000EE"/>
          </w:rPr>
          <w:t>Statement on Form S-1 filed on October 28, 2025 (File No. 333-291112))</w:t>
        </w:r>
      </w:hyperlink>
    </w:p>
    <w:p>
      <w:pPr>
        <w:spacing w:after="0" w:line="53" w:lineRule="exact"/>
        <w:rPr>
          <w:rFonts w:ascii="Times New Roman" w:cs="Times New Roman" w:eastAsia="Times New Roman" w:hAnsi="Times New Roman"/>
          <w:sz w:val="14"/>
          <w:szCs w:val="14"/>
          <w:u w:val="single" w:color="auto"/>
          <w:color w:val="0000EE"/>
        </w:rPr>
      </w:pPr>
    </w:p>
    <w:p>
      <w:pPr>
        <w:ind w:left="2180" w:right="359" w:hanging="778"/>
        <w:spacing w:after="0" w:line="263" w:lineRule="auto"/>
        <w:tabs>
          <w:tab w:leader="none" w:pos="1480" w:val="left"/>
        </w:tabs>
        <w:numPr>
          <w:ilvl w:val="0"/>
          <w:numId w:val="57"/>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4.6</w:t>
      </w:r>
      <w:hyperlink r:id="rId149">
        <w:r>
          <w:rPr>
            <w:rFonts w:ascii="Times New Roman" w:cs="Times New Roman" w:eastAsia="Times New Roman" w:hAnsi="Times New Roman"/>
            <w:sz w:val="14"/>
            <w:szCs w:val="14"/>
            <w:u w:val="single" w:color="auto"/>
            <w:color w:val="0000EE"/>
          </w:rPr>
          <w:t>First Supplemental Indenture, dated as of October 21, 2021, among each of the subsidiaries of Medline Borrower, LP listed thereto and</w:t>
        </w:r>
      </w:hyperlink>
      <w:r>
        <w:rPr>
          <w:rFonts w:ascii="Times New Roman" w:cs="Times New Roman" w:eastAsia="Times New Roman" w:hAnsi="Times New Roman"/>
          <w:sz w:val="14"/>
          <w:szCs w:val="14"/>
          <w:u w:val="single" w:color="auto"/>
          <w:color w:val="0000EE"/>
        </w:rPr>
        <w:t xml:space="preserve"> </w:t>
      </w:r>
      <w:hyperlink r:id="rId149">
        <w:r>
          <w:rPr>
            <w:rFonts w:ascii="Times New Roman" w:cs="Times New Roman" w:eastAsia="Times New Roman" w:hAnsi="Times New Roman"/>
            <w:sz w:val="14"/>
            <w:szCs w:val="14"/>
            <w:u w:val="single" w:color="auto"/>
            <w:color w:val="0000EE"/>
          </w:rPr>
          <w:t>Wilmington Trust, National Association, as trustee (incorporated by reference to Exhibit 4.6 to the Registrant’s Registration Statement on</w:t>
        </w:r>
      </w:hyperlink>
      <w:r>
        <w:rPr>
          <w:rFonts w:ascii="Times New Roman" w:cs="Times New Roman" w:eastAsia="Times New Roman" w:hAnsi="Times New Roman"/>
          <w:sz w:val="14"/>
          <w:szCs w:val="14"/>
          <w:u w:val="single" w:color="auto"/>
          <w:color w:val="0000EE"/>
        </w:rPr>
        <w:t xml:space="preserve"> </w:t>
      </w:r>
      <w:hyperlink r:id="rId149">
        <w:r>
          <w:rPr>
            <w:rFonts w:ascii="Times New Roman" w:cs="Times New Roman" w:eastAsia="Times New Roman" w:hAnsi="Times New Roman"/>
            <w:sz w:val="14"/>
            <w:szCs w:val="14"/>
            <w:u w:val="single" w:color="auto"/>
            <w:color w:val="0000EE"/>
          </w:rPr>
          <w:t>Form S-1 filed on October 28, 2025 (File No. 333-291112))</w:t>
        </w:r>
      </w:hyperlink>
    </w:p>
    <w:p>
      <w:pPr>
        <w:spacing w:after="0" w:line="53" w:lineRule="exact"/>
        <w:rPr>
          <w:rFonts w:ascii="Times New Roman" w:cs="Times New Roman" w:eastAsia="Times New Roman" w:hAnsi="Times New Roman"/>
          <w:sz w:val="14"/>
          <w:szCs w:val="14"/>
          <w:u w:val="single" w:color="auto"/>
          <w:color w:val="0000EE"/>
        </w:rPr>
      </w:pPr>
    </w:p>
    <w:p>
      <w:pPr>
        <w:ind w:left="2180" w:right="359" w:hanging="778"/>
        <w:spacing w:after="0" w:line="263" w:lineRule="auto"/>
        <w:tabs>
          <w:tab w:leader="none" w:pos="1480" w:val="left"/>
        </w:tabs>
        <w:numPr>
          <w:ilvl w:val="0"/>
          <w:numId w:val="57"/>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4.7</w:t>
      </w:r>
      <w:hyperlink r:id="rId150">
        <w:r>
          <w:rPr>
            <w:rFonts w:ascii="Times New Roman" w:cs="Times New Roman" w:eastAsia="Times New Roman" w:hAnsi="Times New Roman"/>
            <w:sz w:val="14"/>
            <w:szCs w:val="14"/>
            <w:u w:val="single" w:color="auto"/>
            <w:color w:val="0000EE"/>
          </w:rPr>
          <w:t>Second Supplemental Indenture, dated as of July 19, 2024, among each of the subsidiaries of Medline Borrower, LP listed thereto and</w:t>
        </w:r>
      </w:hyperlink>
      <w:r>
        <w:rPr>
          <w:rFonts w:ascii="Times New Roman" w:cs="Times New Roman" w:eastAsia="Times New Roman" w:hAnsi="Times New Roman"/>
          <w:sz w:val="14"/>
          <w:szCs w:val="14"/>
          <w:u w:val="single" w:color="auto"/>
          <w:color w:val="0000EE"/>
        </w:rPr>
        <w:t xml:space="preserve"> </w:t>
      </w:r>
      <w:hyperlink r:id="rId150">
        <w:r>
          <w:rPr>
            <w:rFonts w:ascii="Times New Roman" w:cs="Times New Roman" w:eastAsia="Times New Roman" w:hAnsi="Times New Roman"/>
            <w:sz w:val="14"/>
            <w:szCs w:val="14"/>
            <w:u w:val="single" w:color="auto"/>
            <w:color w:val="0000EE"/>
          </w:rPr>
          <w:t>Wilmington Trust, National Association, as trustee (incorporated by reference to Exhibit 4.7 to the Registrant’s Registration Statement on</w:t>
        </w:r>
      </w:hyperlink>
      <w:r>
        <w:rPr>
          <w:rFonts w:ascii="Times New Roman" w:cs="Times New Roman" w:eastAsia="Times New Roman" w:hAnsi="Times New Roman"/>
          <w:sz w:val="14"/>
          <w:szCs w:val="14"/>
          <w:u w:val="single" w:color="auto"/>
          <w:color w:val="0000EE"/>
        </w:rPr>
        <w:t xml:space="preserve"> </w:t>
      </w:r>
      <w:hyperlink r:id="rId150">
        <w:r>
          <w:rPr>
            <w:rFonts w:ascii="Times New Roman" w:cs="Times New Roman" w:eastAsia="Times New Roman" w:hAnsi="Times New Roman"/>
            <w:sz w:val="14"/>
            <w:szCs w:val="14"/>
            <w:u w:val="single" w:color="auto"/>
            <w:color w:val="0000EE"/>
          </w:rPr>
          <w:t>Form S-1 filed on October 28, 2025 (File No. 333-291112))</w:t>
        </w:r>
      </w:hyperlink>
    </w:p>
    <w:p>
      <w:pPr>
        <w:spacing w:after="0" w:line="53" w:lineRule="exact"/>
        <w:rPr>
          <w:rFonts w:ascii="Times New Roman" w:cs="Times New Roman" w:eastAsia="Times New Roman" w:hAnsi="Times New Roman"/>
          <w:sz w:val="14"/>
          <w:szCs w:val="14"/>
          <w:u w:val="single" w:color="auto"/>
          <w:color w:val="0000EE"/>
        </w:rPr>
      </w:pPr>
    </w:p>
    <w:p>
      <w:pPr>
        <w:ind w:left="2180" w:right="279" w:hanging="778"/>
        <w:spacing w:after="0" w:line="263" w:lineRule="auto"/>
        <w:tabs>
          <w:tab w:leader="none" w:pos="1480" w:val="left"/>
        </w:tabs>
        <w:numPr>
          <w:ilvl w:val="0"/>
          <w:numId w:val="57"/>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4.8</w:t>
      </w:r>
      <w:hyperlink r:id="rId151">
        <w:r>
          <w:rPr>
            <w:rFonts w:ascii="Times New Roman" w:cs="Times New Roman" w:eastAsia="Times New Roman" w:hAnsi="Times New Roman"/>
            <w:sz w:val="14"/>
            <w:szCs w:val="14"/>
            <w:u w:val="single" w:color="auto"/>
            <w:color w:val="0000EE"/>
          </w:rPr>
          <w:t>Third Supplemental Indenture, dated as of December 20, 2024, among each of the subsidiaries of Medline Borrower, LP listed thereto and</w:t>
        </w:r>
      </w:hyperlink>
      <w:r>
        <w:rPr>
          <w:rFonts w:ascii="Times New Roman" w:cs="Times New Roman" w:eastAsia="Times New Roman" w:hAnsi="Times New Roman"/>
          <w:sz w:val="14"/>
          <w:szCs w:val="14"/>
          <w:u w:val="single" w:color="auto"/>
          <w:color w:val="0000EE"/>
        </w:rPr>
        <w:t xml:space="preserve"> </w:t>
      </w:r>
      <w:hyperlink r:id="rId151">
        <w:r>
          <w:rPr>
            <w:rFonts w:ascii="Times New Roman" w:cs="Times New Roman" w:eastAsia="Times New Roman" w:hAnsi="Times New Roman"/>
            <w:sz w:val="14"/>
            <w:szCs w:val="14"/>
            <w:u w:val="single" w:color="auto"/>
            <w:color w:val="0000EE"/>
          </w:rPr>
          <w:t>Wilmington Trust, National Association, as trustee (incorporated by reference to Exhibit 4.8 to the Registrant’s Registration Statement on</w:t>
        </w:r>
      </w:hyperlink>
      <w:r>
        <w:rPr>
          <w:rFonts w:ascii="Times New Roman" w:cs="Times New Roman" w:eastAsia="Times New Roman" w:hAnsi="Times New Roman"/>
          <w:sz w:val="14"/>
          <w:szCs w:val="14"/>
          <w:u w:val="single" w:color="auto"/>
          <w:color w:val="0000EE"/>
        </w:rPr>
        <w:t xml:space="preserve"> </w:t>
      </w:r>
      <w:hyperlink r:id="rId151">
        <w:r>
          <w:rPr>
            <w:rFonts w:ascii="Times New Roman" w:cs="Times New Roman" w:eastAsia="Times New Roman" w:hAnsi="Times New Roman"/>
            <w:sz w:val="14"/>
            <w:szCs w:val="14"/>
            <w:u w:val="single" w:color="auto"/>
            <w:color w:val="0000EE"/>
          </w:rPr>
          <w:t>Form S-1 filed on October 28, 2025 (File No. 333-291112))</w:t>
        </w:r>
      </w:hyperlink>
    </w:p>
    <w:p>
      <w:pPr>
        <w:spacing w:after="0" w:line="53" w:lineRule="exact"/>
        <w:rPr>
          <w:rFonts w:ascii="Times New Roman" w:cs="Times New Roman" w:eastAsia="Times New Roman" w:hAnsi="Times New Roman"/>
          <w:sz w:val="14"/>
          <w:szCs w:val="14"/>
          <w:u w:val="single" w:color="auto"/>
          <w:color w:val="0000EE"/>
        </w:rPr>
      </w:pPr>
    </w:p>
    <w:p>
      <w:pPr>
        <w:ind w:left="2180" w:right="299" w:hanging="778"/>
        <w:spacing w:after="0" w:line="258" w:lineRule="auto"/>
        <w:tabs>
          <w:tab w:leader="none" w:pos="1480" w:val="left"/>
        </w:tabs>
        <w:numPr>
          <w:ilvl w:val="0"/>
          <w:numId w:val="57"/>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4.9</w:t>
      </w:r>
      <w:hyperlink r:id="rId152">
        <w:r>
          <w:rPr>
            <w:rFonts w:ascii="Times New Roman" w:cs="Times New Roman" w:eastAsia="Times New Roman" w:hAnsi="Times New Roman"/>
            <w:sz w:val="14"/>
            <w:szCs w:val="14"/>
            <w:u w:val="single" w:color="auto"/>
            <w:color w:val="0000EE"/>
          </w:rPr>
          <w:t>Indenture, dated as of March 27, 2024, among Medline Borrower, LP, Medline Co-Issuer, Inc., Medline Intermediate, LP, the Subsidiary</w:t>
        </w:r>
      </w:hyperlink>
      <w:r>
        <w:rPr>
          <w:rFonts w:ascii="Times New Roman" w:cs="Times New Roman" w:eastAsia="Times New Roman" w:hAnsi="Times New Roman"/>
          <w:sz w:val="14"/>
          <w:szCs w:val="14"/>
          <w:u w:val="single" w:color="auto"/>
          <w:color w:val="0000EE"/>
        </w:rPr>
        <w:t xml:space="preserve"> </w:t>
      </w:r>
      <w:hyperlink r:id="rId152">
        <w:r>
          <w:rPr>
            <w:rFonts w:ascii="Times New Roman" w:cs="Times New Roman" w:eastAsia="Times New Roman" w:hAnsi="Times New Roman"/>
            <w:sz w:val="14"/>
            <w:szCs w:val="14"/>
            <w:u w:val="single" w:color="auto"/>
            <w:color w:val="0000EE"/>
          </w:rPr>
          <w:t>Guarantors named therein and Wilmington Trust, National Association as trustee, paying agent, transfer agent, registrar and notes</w:t>
        </w:r>
      </w:hyperlink>
      <w:r>
        <w:rPr>
          <w:rFonts w:ascii="Times New Roman" w:cs="Times New Roman" w:eastAsia="Times New Roman" w:hAnsi="Times New Roman"/>
          <w:sz w:val="14"/>
          <w:szCs w:val="14"/>
          <w:u w:val="single" w:color="auto"/>
          <w:color w:val="0000EE"/>
        </w:rPr>
        <w:t xml:space="preserve"> </w:t>
      </w:r>
      <w:hyperlink r:id="rId152">
        <w:r>
          <w:rPr>
            <w:rFonts w:ascii="Times New Roman" w:cs="Times New Roman" w:eastAsia="Times New Roman" w:hAnsi="Times New Roman"/>
            <w:sz w:val="14"/>
            <w:szCs w:val="14"/>
            <w:u w:val="single" w:color="auto"/>
            <w:color w:val="0000EE"/>
          </w:rPr>
          <w:t>collateral agent (incorporated by reference to Exhibit 4.9 to the Registrant’s Registration Statement on Form S-1 filed on October 28, 2025</w:t>
        </w:r>
      </w:hyperlink>
      <w:r>
        <w:rPr>
          <w:rFonts w:ascii="Times New Roman" w:cs="Times New Roman" w:eastAsia="Times New Roman" w:hAnsi="Times New Roman"/>
          <w:sz w:val="14"/>
          <w:szCs w:val="14"/>
          <w:u w:val="single" w:color="auto"/>
          <w:color w:val="0000EE"/>
        </w:rPr>
        <w:t xml:space="preserve"> </w:t>
      </w:r>
      <w:hyperlink r:id="rId152">
        <w:r>
          <w:rPr>
            <w:rFonts w:ascii="Times New Roman" w:cs="Times New Roman" w:eastAsia="Times New Roman" w:hAnsi="Times New Roman"/>
            <w:sz w:val="14"/>
            <w:szCs w:val="14"/>
            <w:u w:val="single" w:color="auto"/>
            <w:color w:val="0000EE"/>
          </w:rPr>
          <w:t>(File No. 333-291112))</w:t>
        </w:r>
      </w:hyperlink>
    </w:p>
    <w:p>
      <w:pPr>
        <w:spacing w:after="0" w:line="88" w:lineRule="exact"/>
        <w:rPr>
          <w:rFonts w:ascii="Times New Roman" w:cs="Times New Roman" w:eastAsia="Times New Roman" w:hAnsi="Times New Roman"/>
          <w:sz w:val="14"/>
          <w:szCs w:val="14"/>
          <w:u w:val="single" w:color="auto"/>
          <w:color w:val="0000EE"/>
        </w:rPr>
      </w:pPr>
    </w:p>
    <w:p>
      <w:pPr>
        <w:ind w:left="5540"/>
        <w:spacing w:after="0"/>
        <w:rPr>
          <w:sz w:val="20"/>
          <w:szCs w:val="20"/>
          <w:color w:val="auto"/>
        </w:rPr>
      </w:pPr>
      <w:r>
        <w:rPr>
          <w:rFonts w:ascii="Times New Roman" w:cs="Times New Roman" w:eastAsia="Times New Roman" w:hAnsi="Times New Roman"/>
          <w:sz w:val="14"/>
          <w:szCs w:val="14"/>
          <w:color w:val="auto"/>
        </w:rPr>
        <w:t>II-5</w:t>
      </w:r>
    </w:p>
    <w:p>
      <w:pPr>
        <w:sectPr>
          <w:pgSz w:w="11900" w:h="16838" w:orient="portrait"/>
          <w:cols w:equalWidth="0" w:num="1">
            <w:col w:w="10159"/>
          </w:cols>
          <w:pgMar w:left="300" w:top="383" w:right="1440"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30" w:lineRule="exact"/>
        <w:rPr>
          <w:sz w:val="20"/>
          <w:szCs w:val="20"/>
          <w:color w:val="auto"/>
        </w:rPr>
      </w:pPr>
    </w:p>
    <w:tbl>
      <w:tblPr>
        <w:tblLayout w:type="fixed"/>
        <w:tblInd w:w="1520" w:type="dxa"/>
        <w:tblCellMar>
          <w:top w:w="0" w:type="dxa"/>
          <w:left w:w="0" w:type="dxa"/>
          <w:bottom w:w="0" w:type="dxa"/>
          <w:right w:w="0" w:type="dxa"/>
        </w:tblCellMar>
      </w:tblPr>
      <w:tr>
        <w:trPr>
          <w:trHeight w:val="126"/>
        </w:trPr>
        <w:tc>
          <w:tcPr>
            <w:tcW w:w="2320" w:type="dxa"/>
            <w:vAlign w:val="bottom"/>
          </w:tcPr>
          <w:p>
            <w:pPr>
              <w:jc w:val="center"/>
              <w:ind w:right="1905"/>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2500" w:type="dxa"/>
            <w:vAlign w:val="bottom"/>
            <w:vMerge w:val="restart"/>
          </w:tcPr>
          <w:p>
            <w:pPr>
              <w:ind w:left="1960"/>
              <w:spacing w:after="0"/>
              <w:rPr>
                <w:sz w:val="20"/>
                <w:szCs w:val="20"/>
                <w:color w:val="auto"/>
              </w:rPr>
            </w:pPr>
            <w:r>
              <w:rPr>
                <w:rFonts w:ascii="Times New Roman" w:cs="Times New Roman" w:eastAsia="Times New Roman" w:hAnsi="Times New Roman"/>
                <w:sz w:val="11"/>
                <w:szCs w:val="11"/>
                <w:b w:val="1"/>
                <w:bCs w:val="1"/>
                <w:color w:val="auto"/>
                <w:w w:val="95"/>
              </w:rPr>
              <w:t>Description</w:t>
            </w:r>
          </w:p>
        </w:tc>
        <w:tc>
          <w:tcPr>
            <w:tcW w:w="0" w:type="dxa"/>
            <w:vAlign w:val="bottom"/>
          </w:tcPr>
          <w:p>
            <w:pPr>
              <w:spacing w:after="0"/>
              <w:rPr>
                <w:sz w:val="1"/>
                <w:szCs w:val="1"/>
                <w:color w:val="auto"/>
              </w:rPr>
            </w:pPr>
          </w:p>
        </w:tc>
      </w:tr>
      <w:tr>
        <w:trPr>
          <w:trHeight w:val="145"/>
        </w:trPr>
        <w:tc>
          <w:tcPr>
            <w:tcW w:w="2320" w:type="dxa"/>
            <w:vAlign w:val="bottom"/>
          </w:tcPr>
          <w:p>
            <w:pPr>
              <w:jc w:val="center"/>
              <w:ind w:right="1905"/>
              <w:spacing w:after="0"/>
              <w:rPr>
                <w:sz w:val="20"/>
                <w:szCs w:val="20"/>
                <w:color w:val="auto"/>
              </w:rPr>
            </w:pPr>
            <w:r>
              <w:rPr>
                <w:rFonts w:ascii="Times New Roman" w:cs="Times New Roman" w:eastAsia="Times New Roman" w:hAnsi="Times New Roman"/>
                <w:sz w:val="11"/>
                <w:szCs w:val="11"/>
                <w:b w:val="1"/>
                <w:bCs w:val="1"/>
                <w:u w:val="single" w:color="auto"/>
                <w:color w:val="auto"/>
                <w:w w:val="98"/>
              </w:rPr>
              <w:t>No.</w:t>
            </w:r>
          </w:p>
        </w:tc>
        <w:tc>
          <w:tcPr>
            <w:tcW w:w="2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1435100</wp:posOffset>
            </wp:positionH>
            <wp:positionV relativeFrom="paragraph">
              <wp:posOffset>0</wp:posOffset>
            </wp:positionV>
            <wp:extent cx="4846320" cy="6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4">
                      <a:extLst>
                        <a:ext uri="{28A0092B-C50C-407E-A947-70E740481C1C}"/>
                      </a:extLst>
                    </a:blip>
                    <a:srcRect/>
                    <a:stretch>
                      <a:fillRect/>
                    </a:stretch>
                  </pic:blipFill>
                  <pic:spPr bwMode="auto">
                    <a:xfrm>
                      <a:off x="0" y="0"/>
                      <a:ext cx="4846320" cy="6350"/>
                    </a:xfrm>
                    <a:prstGeom prst="rect">
                      <a:avLst/>
                    </a:prstGeom>
                    <a:noFill/>
                  </pic:spPr>
                </pic:pic>
              </a:graphicData>
            </a:graphic>
          </wp:anchor>
        </w:drawing>
      </w:r>
    </w:p>
    <w:p>
      <w:pPr>
        <w:spacing w:after="0" w:line="48" w:lineRule="exact"/>
        <w:rPr>
          <w:sz w:val="20"/>
          <w:szCs w:val="20"/>
          <w:color w:val="auto"/>
        </w:rPr>
      </w:pPr>
    </w:p>
    <w:p>
      <w:pPr>
        <w:ind w:left="2260" w:right="559" w:hanging="858"/>
        <w:spacing w:after="0" w:line="263" w:lineRule="auto"/>
        <w:tabs>
          <w:tab w:leader="none" w:pos="1477" w:val="left"/>
        </w:tabs>
        <w:numPr>
          <w:ilvl w:val="0"/>
          <w:numId w:val="58"/>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4.10</w:t>
      </w:r>
      <w:hyperlink r:id="rId155">
        <w:r>
          <w:rPr>
            <w:rFonts w:ascii="Times New Roman" w:cs="Times New Roman" w:eastAsia="Times New Roman" w:hAnsi="Times New Roman"/>
            <w:sz w:val="14"/>
            <w:szCs w:val="14"/>
            <w:u w:val="single" w:color="auto"/>
            <w:color w:val="0000EE"/>
          </w:rPr>
          <w:t>First Supplemental Indenture, dated as of June 24, 2024, among each of the subsidiaries of Medline Borrower, LP listed thereto and</w:t>
        </w:r>
      </w:hyperlink>
      <w:r>
        <w:rPr>
          <w:rFonts w:ascii="Times New Roman" w:cs="Times New Roman" w:eastAsia="Times New Roman" w:hAnsi="Times New Roman"/>
          <w:sz w:val="14"/>
          <w:szCs w:val="14"/>
          <w:u w:val="single" w:color="auto"/>
          <w:color w:val="0000EE"/>
        </w:rPr>
        <w:t xml:space="preserve"> </w:t>
      </w:r>
      <w:hyperlink r:id="rId155">
        <w:r>
          <w:rPr>
            <w:rFonts w:ascii="Times New Roman" w:cs="Times New Roman" w:eastAsia="Times New Roman" w:hAnsi="Times New Roman"/>
            <w:sz w:val="14"/>
            <w:szCs w:val="14"/>
            <w:u w:val="single" w:color="auto"/>
            <w:color w:val="0000EE"/>
          </w:rPr>
          <w:t>Wilmington Trust, National Association, as trustee and collateral agent (incorporated by reference to Exhibit 4.10 to the Registrant’s</w:t>
        </w:r>
      </w:hyperlink>
      <w:r>
        <w:rPr>
          <w:rFonts w:ascii="Times New Roman" w:cs="Times New Roman" w:eastAsia="Times New Roman" w:hAnsi="Times New Roman"/>
          <w:sz w:val="14"/>
          <w:szCs w:val="14"/>
          <w:u w:val="single" w:color="auto"/>
          <w:color w:val="0000EE"/>
        </w:rPr>
        <w:t xml:space="preserve"> </w:t>
      </w:r>
      <w:hyperlink r:id="rId155">
        <w:r>
          <w:rPr>
            <w:rFonts w:ascii="Times New Roman" w:cs="Times New Roman" w:eastAsia="Times New Roman" w:hAnsi="Times New Roman"/>
            <w:sz w:val="14"/>
            <w:szCs w:val="14"/>
            <w:u w:val="single" w:color="auto"/>
            <w:color w:val="0000EE"/>
          </w:rPr>
          <w:t>Registration Statement on Form S-1 filed on October 28, 2025 (File No. 333-291112))</w:t>
        </w:r>
      </w:hyperlink>
    </w:p>
    <w:p>
      <w:pPr>
        <w:spacing w:after="0" w:line="53" w:lineRule="exact"/>
        <w:rPr>
          <w:rFonts w:ascii="Times New Roman" w:cs="Times New Roman" w:eastAsia="Times New Roman" w:hAnsi="Times New Roman"/>
          <w:sz w:val="14"/>
          <w:szCs w:val="14"/>
          <w:u w:val="single" w:color="auto"/>
          <w:color w:val="0000EE"/>
        </w:rPr>
      </w:pPr>
    </w:p>
    <w:p>
      <w:pPr>
        <w:ind w:left="2260" w:right="439" w:hanging="858"/>
        <w:spacing w:after="0" w:line="263" w:lineRule="auto"/>
        <w:tabs>
          <w:tab w:leader="none" w:pos="1477" w:val="left"/>
        </w:tabs>
        <w:numPr>
          <w:ilvl w:val="0"/>
          <w:numId w:val="58"/>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4.11</w:t>
      </w:r>
      <w:hyperlink r:id="rId156">
        <w:r>
          <w:rPr>
            <w:rFonts w:ascii="Times New Roman" w:cs="Times New Roman" w:eastAsia="Times New Roman" w:hAnsi="Times New Roman"/>
            <w:sz w:val="14"/>
            <w:szCs w:val="14"/>
            <w:u w:val="single" w:color="auto"/>
            <w:color w:val="0000EE"/>
          </w:rPr>
          <w:t>Second Supplemental Indenture, dated as of July 19, 2024, among each of the subsidiaries of Medline Borrower, LP listed thereto and</w:t>
        </w:r>
      </w:hyperlink>
      <w:r>
        <w:rPr>
          <w:rFonts w:ascii="Times New Roman" w:cs="Times New Roman" w:eastAsia="Times New Roman" w:hAnsi="Times New Roman"/>
          <w:sz w:val="14"/>
          <w:szCs w:val="14"/>
          <w:u w:val="single" w:color="auto"/>
          <w:color w:val="0000EE"/>
        </w:rPr>
        <w:t xml:space="preserve"> </w:t>
      </w:r>
      <w:hyperlink r:id="rId156">
        <w:r>
          <w:rPr>
            <w:rFonts w:ascii="Times New Roman" w:cs="Times New Roman" w:eastAsia="Times New Roman" w:hAnsi="Times New Roman"/>
            <w:sz w:val="14"/>
            <w:szCs w:val="14"/>
            <w:u w:val="single" w:color="auto"/>
            <w:color w:val="0000EE"/>
          </w:rPr>
          <w:t>Wilmington Trust, National Association, as trustee and collateral agent (incorporated by reference to Exhibit 4.11 to the Registrant’s</w:t>
        </w:r>
      </w:hyperlink>
      <w:r>
        <w:rPr>
          <w:rFonts w:ascii="Times New Roman" w:cs="Times New Roman" w:eastAsia="Times New Roman" w:hAnsi="Times New Roman"/>
          <w:sz w:val="14"/>
          <w:szCs w:val="14"/>
          <w:u w:val="single" w:color="auto"/>
          <w:color w:val="0000EE"/>
        </w:rPr>
        <w:t xml:space="preserve"> </w:t>
      </w:r>
      <w:hyperlink r:id="rId156">
        <w:r>
          <w:rPr>
            <w:rFonts w:ascii="Times New Roman" w:cs="Times New Roman" w:eastAsia="Times New Roman" w:hAnsi="Times New Roman"/>
            <w:sz w:val="14"/>
            <w:szCs w:val="14"/>
            <w:u w:val="single" w:color="auto"/>
            <w:color w:val="0000EE"/>
          </w:rPr>
          <w:t>Registration Statement on Form S-1 filed on October 28, 2025 (File No. 333-291112))</w:t>
        </w:r>
      </w:hyperlink>
    </w:p>
    <w:p>
      <w:pPr>
        <w:spacing w:after="0" w:line="53" w:lineRule="exact"/>
        <w:rPr>
          <w:rFonts w:ascii="Times New Roman" w:cs="Times New Roman" w:eastAsia="Times New Roman" w:hAnsi="Times New Roman"/>
          <w:sz w:val="14"/>
          <w:szCs w:val="14"/>
          <w:u w:val="single" w:color="auto"/>
          <w:color w:val="0000EE"/>
        </w:rPr>
      </w:pPr>
    </w:p>
    <w:p>
      <w:pPr>
        <w:ind w:left="2260" w:right="339" w:hanging="858"/>
        <w:spacing w:after="0" w:line="263" w:lineRule="auto"/>
        <w:tabs>
          <w:tab w:leader="none" w:pos="1477" w:val="left"/>
        </w:tabs>
        <w:numPr>
          <w:ilvl w:val="0"/>
          <w:numId w:val="58"/>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4.12</w:t>
      </w:r>
      <w:hyperlink r:id="rId157">
        <w:r>
          <w:rPr>
            <w:rFonts w:ascii="Times New Roman" w:cs="Times New Roman" w:eastAsia="Times New Roman" w:hAnsi="Times New Roman"/>
            <w:sz w:val="14"/>
            <w:szCs w:val="14"/>
            <w:u w:val="single" w:color="auto"/>
            <w:color w:val="0000EE"/>
          </w:rPr>
          <w:t>Third Supplemental Indenture, dated as of December 20, 2024, among each of the subsidiaries of Medline Borrower, LP listed thereto</w:t>
        </w:r>
      </w:hyperlink>
      <w:r>
        <w:rPr>
          <w:rFonts w:ascii="Times New Roman" w:cs="Times New Roman" w:eastAsia="Times New Roman" w:hAnsi="Times New Roman"/>
          <w:sz w:val="14"/>
          <w:szCs w:val="14"/>
          <w:u w:val="single" w:color="auto"/>
          <w:color w:val="0000EE"/>
        </w:rPr>
        <w:t xml:space="preserve"> </w:t>
      </w:r>
      <w:hyperlink r:id="rId157">
        <w:r>
          <w:rPr>
            <w:rFonts w:ascii="Times New Roman" w:cs="Times New Roman" w:eastAsia="Times New Roman" w:hAnsi="Times New Roman"/>
            <w:sz w:val="14"/>
            <w:szCs w:val="14"/>
            <w:u w:val="single" w:color="auto"/>
            <w:color w:val="0000EE"/>
          </w:rPr>
          <w:t>and Wilmington Trust, National Association, as trustee and collateral agent (incorporated by reference to Exhibit 4.12 to the Registrant’s</w:t>
        </w:r>
      </w:hyperlink>
      <w:r>
        <w:rPr>
          <w:rFonts w:ascii="Times New Roman" w:cs="Times New Roman" w:eastAsia="Times New Roman" w:hAnsi="Times New Roman"/>
          <w:sz w:val="14"/>
          <w:szCs w:val="14"/>
          <w:u w:val="single" w:color="auto"/>
          <w:color w:val="0000EE"/>
        </w:rPr>
        <w:t xml:space="preserve"> </w:t>
      </w:r>
      <w:hyperlink r:id="rId157">
        <w:r>
          <w:rPr>
            <w:rFonts w:ascii="Times New Roman" w:cs="Times New Roman" w:eastAsia="Times New Roman" w:hAnsi="Times New Roman"/>
            <w:sz w:val="14"/>
            <w:szCs w:val="14"/>
            <w:u w:val="single" w:color="auto"/>
            <w:color w:val="0000EE"/>
          </w:rPr>
          <w:t>Registration Statement on Form S-1 filed on October 28, 2025 (File No. 333-291112))</w:t>
        </w:r>
      </w:hyperlink>
    </w:p>
    <w:p>
      <w:pPr>
        <w:spacing w:after="0" w:line="42" w:lineRule="exact"/>
        <w:rPr>
          <w:rFonts w:ascii="Times New Roman" w:cs="Times New Roman" w:eastAsia="Times New Roman" w:hAnsi="Times New Roman"/>
          <w:sz w:val="14"/>
          <w:szCs w:val="14"/>
          <w:u w:val="single" w:color="auto"/>
          <w:color w:val="0000EE"/>
        </w:rPr>
      </w:pPr>
    </w:p>
    <w:tbl>
      <w:tblPr>
        <w:tblLayout w:type="fixed"/>
        <w:tblInd w:w="1400" w:type="dxa"/>
        <w:tblCellMar>
          <w:top w:w="0" w:type="dxa"/>
          <w:left w:w="0" w:type="dxa"/>
          <w:bottom w:w="0" w:type="dxa"/>
          <w:right w:w="0" w:type="dxa"/>
        </w:tblCellMar>
      </w:tblPr>
      <w:tr>
        <w:trPr>
          <w:trHeight w:val="161"/>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    5.1</w:t>
            </w:r>
          </w:p>
        </w:tc>
        <w:tc>
          <w:tcPr>
            <w:tcW w:w="7500" w:type="dxa"/>
            <w:vAlign w:val="bottom"/>
            <w:gridSpan w:val="8"/>
          </w:tcPr>
          <w:p>
            <w:pPr>
              <w:spacing w:after="0"/>
              <w:rPr>
                <w:sz w:val="20"/>
                <w:szCs w:val="20"/>
                <w:color w:val="auto"/>
              </w:rPr>
            </w:pPr>
            <w:r>
              <w:rPr>
                <w:rFonts w:ascii="Times New Roman" w:cs="Times New Roman" w:eastAsia="Times New Roman" w:hAnsi="Times New Roman"/>
                <w:sz w:val="14"/>
                <w:szCs w:val="14"/>
                <w:color w:val="0000EE"/>
              </w:rPr>
              <w:t>Opinion of Simpson Thacher &amp; Bartlett LLP</w:t>
            </w:r>
          </w:p>
        </w:tc>
      </w:tr>
      <w:tr>
        <w:trPr>
          <w:trHeight w:val="20"/>
        </w:trPr>
        <w:tc>
          <w:tcPr>
            <w:tcW w:w="86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  10.1</w:t>
            </w:r>
          </w:p>
        </w:tc>
        <w:tc>
          <w:tcPr>
            <w:tcW w:w="7500" w:type="dxa"/>
            <w:vAlign w:val="bottom"/>
            <w:gridSpan w:val="8"/>
          </w:tcPr>
          <w:p>
            <w:pPr>
              <w:spacing w:after="0"/>
              <w:rPr>
                <w:rFonts w:ascii="Times New Roman" w:cs="Times New Roman" w:eastAsia="Times New Roman" w:hAnsi="Times New Roman"/>
                <w:sz w:val="14"/>
                <w:szCs w:val="14"/>
                <w:color w:val="0000EE"/>
                <w:w w:val="99"/>
              </w:rPr>
            </w:pPr>
            <w:hyperlink r:id="rId158">
              <w:r>
                <w:rPr>
                  <w:rFonts w:ascii="Times New Roman" w:cs="Times New Roman" w:eastAsia="Times New Roman" w:hAnsi="Times New Roman"/>
                  <w:sz w:val="14"/>
                  <w:szCs w:val="14"/>
                  <w:color w:val="0000EE"/>
                  <w:w w:val="99"/>
                </w:rPr>
                <w:t>Second Amended and Restated Limited Partnership Agreement of Medline Holdings, LP (incorporated by reference to Exhibit 10.1 to</w:t>
              </w:r>
            </w:hyperlink>
          </w:p>
        </w:tc>
      </w:tr>
      <w:tr>
        <w:trPr>
          <w:trHeight w:val="146"/>
        </w:trPr>
        <w:tc>
          <w:tcPr>
            <w:tcW w:w="860" w:type="dxa"/>
            <w:vAlign w:val="bottom"/>
          </w:tcPr>
          <w:p>
            <w:pPr>
              <w:spacing w:after="0"/>
              <w:rPr>
                <w:sz w:val="12"/>
                <w:szCs w:val="12"/>
                <w:color w:val="auto"/>
              </w:rPr>
            </w:pPr>
          </w:p>
        </w:tc>
        <w:tc>
          <w:tcPr>
            <w:tcW w:w="5340" w:type="dxa"/>
            <w:vAlign w:val="bottom"/>
            <w:tcBorders>
              <w:top w:val="single" w:sz="8" w:color="0000EE"/>
              <w:bottom w:val="single" w:sz="8" w:color="0000EE"/>
            </w:tcBorders>
            <w:gridSpan w:val="4"/>
          </w:tcPr>
          <w:p>
            <w:pPr>
              <w:spacing w:after="0" w:line="147" w:lineRule="exact"/>
              <w:rPr>
                <w:rFonts w:ascii="Times New Roman" w:cs="Times New Roman" w:eastAsia="Times New Roman" w:hAnsi="Times New Roman"/>
                <w:sz w:val="14"/>
                <w:szCs w:val="14"/>
                <w:color w:val="0000EE"/>
                <w:w w:val="98"/>
              </w:rPr>
            </w:pPr>
            <w:hyperlink r:id="rId158">
              <w:r>
                <w:rPr>
                  <w:rFonts w:ascii="Times New Roman" w:cs="Times New Roman" w:eastAsia="Times New Roman" w:hAnsi="Times New Roman"/>
                  <w:sz w:val="14"/>
                  <w:szCs w:val="14"/>
                  <w:color w:val="0000EE"/>
                  <w:w w:val="98"/>
                </w:rPr>
                <w:t>the Registrant’s Current Report on Form 8-K filed on December 22, 2025 (File No. 001-43022))</w:t>
              </w:r>
            </w:hyperlink>
          </w:p>
        </w:tc>
        <w:tc>
          <w:tcPr>
            <w:tcW w:w="2100" w:type="dxa"/>
            <w:vAlign w:val="bottom"/>
            <w:tcBorders>
              <w:top w:val="single" w:sz="8" w:color="0000EE"/>
            </w:tcBorders>
            <w:gridSpan w:val="3"/>
          </w:tcPr>
          <w:p>
            <w:pPr>
              <w:spacing w:after="0"/>
              <w:rPr>
                <w:sz w:val="12"/>
                <w:szCs w:val="12"/>
                <w:color w:val="auto"/>
              </w:rPr>
            </w:pPr>
          </w:p>
        </w:tc>
        <w:tc>
          <w:tcPr>
            <w:tcW w:w="60" w:type="dxa"/>
            <w:vAlign w:val="bottom"/>
          </w:tcPr>
          <w:p>
            <w:pPr>
              <w:spacing w:after="0"/>
              <w:rPr>
                <w:sz w:val="12"/>
                <w:szCs w:val="12"/>
                <w:color w:val="auto"/>
              </w:rPr>
            </w:pPr>
          </w:p>
        </w:tc>
      </w:tr>
      <w:tr>
        <w:trPr>
          <w:trHeight w:val="230"/>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  10.2</w:t>
            </w:r>
          </w:p>
        </w:tc>
        <w:tc>
          <w:tcPr>
            <w:tcW w:w="7500" w:type="dxa"/>
            <w:vAlign w:val="bottom"/>
            <w:gridSpan w:val="8"/>
          </w:tcPr>
          <w:p>
            <w:pPr>
              <w:spacing w:after="0"/>
              <w:rPr>
                <w:rFonts w:ascii="Times New Roman" w:cs="Times New Roman" w:eastAsia="Times New Roman" w:hAnsi="Times New Roman"/>
                <w:sz w:val="14"/>
                <w:szCs w:val="14"/>
                <w:color w:val="0000EE"/>
              </w:rPr>
            </w:pPr>
            <w:hyperlink r:id="rId159">
              <w:r>
                <w:rPr>
                  <w:rFonts w:ascii="Times New Roman" w:cs="Times New Roman" w:eastAsia="Times New Roman" w:hAnsi="Times New Roman"/>
                  <w:sz w:val="14"/>
                  <w:szCs w:val="14"/>
                  <w:color w:val="0000EE"/>
                </w:rPr>
                <w:t>Tax Receivable Agreement (incorporated by reference to Exhibit 10.2 to the Registrant’s Current Report on Form 8-K filed on</w:t>
              </w:r>
            </w:hyperlink>
          </w:p>
        </w:tc>
      </w:tr>
      <w:tr>
        <w:trPr>
          <w:trHeight w:val="146"/>
        </w:trPr>
        <w:tc>
          <w:tcPr>
            <w:tcW w:w="860" w:type="dxa"/>
            <w:vAlign w:val="bottom"/>
          </w:tcPr>
          <w:p>
            <w:pPr>
              <w:spacing w:after="0"/>
              <w:rPr>
                <w:sz w:val="12"/>
                <w:szCs w:val="12"/>
                <w:color w:val="auto"/>
              </w:rPr>
            </w:pPr>
          </w:p>
        </w:tc>
        <w:tc>
          <w:tcPr>
            <w:tcW w:w="7000" w:type="dxa"/>
            <w:vAlign w:val="bottom"/>
            <w:tcBorders>
              <w:top w:val="single" w:sz="8" w:color="0000EE"/>
            </w:tcBorders>
            <w:gridSpan w:val="5"/>
          </w:tcPr>
          <w:p>
            <w:pPr>
              <w:spacing w:after="0" w:line="147" w:lineRule="exact"/>
              <w:rPr>
                <w:rFonts w:ascii="Times New Roman" w:cs="Times New Roman" w:eastAsia="Times New Roman" w:hAnsi="Times New Roman"/>
                <w:sz w:val="14"/>
                <w:szCs w:val="14"/>
                <w:color w:val="0000EE"/>
              </w:rPr>
            </w:pPr>
            <w:hyperlink r:id="rId159">
              <w:r>
                <w:rPr>
                  <w:rFonts w:ascii="Times New Roman" w:cs="Times New Roman" w:eastAsia="Times New Roman" w:hAnsi="Times New Roman"/>
                  <w:sz w:val="14"/>
                  <w:szCs w:val="14"/>
                  <w:color w:val="0000EE"/>
                </w:rPr>
                <w:t>December 22, 2025 (File No. 001-43022))</w:t>
              </w:r>
            </w:hyperlink>
          </w:p>
        </w:tc>
        <w:tc>
          <w:tcPr>
            <w:tcW w:w="500" w:type="dxa"/>
            <w:vAlign w:val="bottom"/>
            <w:gridSpan w:val="3"/>
          </w:tcPr>
          <w:p>
            <w:pPr>
              <w:spacing w:after="0"/>
              <w:rPr>
                <w:sz w:val="12"/>
                <w:szCs w:val="12"/>
                <w:color w:val="auto"/>
              </w:rPr>
            </w:pPr>
          </w:p>
        </w:tc>
      </w:tr>
      <w:tr>
        <w:trPr>
          <w:trHeight w:val="20"/>
        </w:trPr>
        <w:tc>
          <w:tcPr>
            <w:tcW w:w="86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88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230"/>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  10.3</w:t>
            </w:r>
          </w:p>
        </w:tc>
        <w:tc>
          <w:tcPr>
            <w:tcW w:w="7500" w:type="dxa"/>
            <w:vAlign w:val="bottom"/>
            <w:tcBorders>
              <w:bottom w:val="single" w:sz="8" w:color="0000EE"/>
            </w:tcBorders>
            <w:gridSpan w:val="8"/>
          </w:tcPr>
          <w:p>
            <w:pPr>
              <w:spacing w:after="0"/>
              <w:rPr>
                <w:rFonts w:ascii="Times New Roman" w:cs="Times New Roman" w:eastAsia="Times New Roman" w:hAnsi="Times New Roman"/>
                <w:sz w:val="14"/>
                <w:szCs w:val="14"/>
                <w:color w:val="0000EE"/>
                <w:w w:val="98"/>
              </w:rPr>
            </w:pPr>
            <w:hyperlink r:id="rId160">
              <w:r>
                <w:rPr>
                  <w:rFonts w:ascii="Times New Roman" w:cs="Times New Roman" w:eastAsia="Times New Roman" w:hAnsi="Times New Roman"/>
                  <w:sz w:val="14"/>
                  <w:szCs w:val="14"/>
                  <w:color w:val="0000EE"/>
                  <w:w w:val="98"/>
                </w:rPr>
                <w:t>Exchange Agreement (incorporated by reference to Exhibit 10.3 to the Registrant’s Current Report on Form 8-K filed on December 22,</w:t>
              </w:r>
            </w:hyperlink>
          </w:p>
        </w:tc>
      </w:tr>
      <w:tr>
        <w:trPr>
          <w:trHeight w:val="146"/>
        </w:trPr>
        <w:tc>
          <w:tcPr>
            <w:tcW w:w="860" w:type="dxa"/>
            <w:vAlign w:val="bottom"/>
          </w:tcPr>
          <w:p>
            <w:pPr>
              <w:spacing w:after="0"/>
              <w:rPr>
                <w:sz w:val="12"/>
                <w:szCs w:val="12"/>
                <w:color w:val="auto"/>
              </w:rPr>
            </w:pPr>
          </w:p>
        </w:tc>
        <w:tc>
          <w:tcPr>
            <w:tcW w:w="1540" w:type="dxa"/>
            <w:vAlign w:val="bottom"/>
            <w:tcBorders>
              <w:bottom w:val="single" w:sz="8" w:color="0000EE"/>
            </w:tcBorders>
          </w:tcPr>
          <w:p>
            <w:pPr>
              <w:spacing w:after="0" w:line="147" w:lineRule="exact"/>
              <w:rPr>
                <w:rFonts w:ascii="Times New Roman" w:cs="Times New Roman" w:eastAsia="Times New Roman" w:hAnsi="Times New Roman"/>
                <w:sz w:val="14"/>
                <w:szCs w:val="14"/>
                <w:color w:val="0000EE"/>
                <w:w w:val="97"/>
              </w:rPr>
            </w:pPr>
            <w:hyperlink r:id="rId160">
              <w:r>
                <w:rPr>
                  <w:rFonts w:ascii="Times New Roman" w:cs="Times New Roman" w:eastAsia="Times New Roman" w:hAnsi="Times New Roman"/>
                  <w:sz w:val="14"/>
                  <w:szCs w:val="14"/>
                  <w:color w:val="0000EE"/>
                  <w:w w:val="97"/>
                </w:rPr>
                <w:t>2025 (File No. 001-43022))</w:t>
              </w:r>
            </w:hyperlink>
          </w:p>
        </w:tc>
        <w:tc>
          <w:tcPr>
            <w:tcW w:w="5960" w:type="dxa"/>
            <w:vAlign w:val="bottom"/>
            <w:gridSpan w:val="7"/>
          </w:tcPr>
          <w:p>
            <w:pPr>
              <w:spacing w:after="0"/>
              <w:rPr>
                <w:sz w:val="12"/>
                <w:szCs w:val="12"/>
                <w:color w:val="auto"/>
              </w:rPr>
            </w:pPr>
          </w:p>
        </w:tc>
      </w:tr>
      <w:tr>
        <w:trPr>
          <w:trHeight w:val="230"/>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  10.4</w:t>
            </w:r>
          </w:p>
        </w:tc>
        <w:tc>
          <w:tcPr>
            <w:tcW w:w="7220" w:type="dxa"/>
            <w:vAlign w:val="bottom"/>
            <w:tcBorders>
              <w:bottom w:val="single" w:sz="8" w:color="0000EE"/>
            </w:tcBorders>
            <w:gridSpan w:val="6"/>
          </w:tcPr>
          <w:p>
            <w:pPr>
              <w:spacing w:after="0"/>
              <w:rPr>
                <w:rFonts w:ascii="Times New Roman" w:cs="Times New Roman" w:eastAsia="Times New Roman" w:hAnsi="Times New Roman"/>
                <w:sz w:val="14"/>
                <w:szCs w:val="14"/>
                <w:color w:val="0000EE"/>
                <w:w w:val="98"/>
              </w:rPr>
            </w:pPr>
            <w:hyperlink r:id="rId161">
              <w:r>
                <w:rPr>
                  <w:rFonts w:ascii="Times New Roman" w:cs="Times New Roman" w:eastAsia="Times New Roman" w:hAnsi="Times New Roman"/>
                  <w:sz w:val="14"/>
                  <w:szCs w:val="14"/>
                  <w:color w:val="0000EE"/>
                  <w:w w:val="98"/>
                </w:rPr>
                <w:t>Registration Rights Agreement (incorporated by reference to Exhibit 10.4 to the Registrant’s Current Report on Form 8-K filed on</w:t>
              </w:r>
            </w:hyperlink>
          </w:p>
        </w:tc>
        <w:tc>
          <w:tcPr>
            <w:tcW w:w="280" w:type="dxa"/>
            <w:vAlign w:val="bottom"/>
            <w:gridSpan w:val="2"/>
          </w:tcPr>
          <w:p>
            <w:pPr>
              <w:spacing w:after="0"/>
              <w:rPr>
                <w:sz w:val="19"/>
                <w:szCs w:val="19"/>
                <w:color w:val="auto"/>
              </w:rPr>
            </w:pPr>
          </w:p>
        </w:tc>
      </w:tr>
      <w:tr>
        <w:trPr>
          <w:trHeight w:val="146"/>
        </w:trPr>
        <w:tc>
          <w:tcPr>
            <w:tcW w:w="860" w:type="dxa"/>
            <w:vAlign w:val="bottom"/>
          </w:tcPr>
          <w:p>
            <w:pPr>
              <w:spacing w:after="0"/>
              <w:rPr>
                <w:sz w:val="12"/>
                <w:szCs w:val="12"/>
                <w:color w:val="auto"/>
              </w:rPr>
            </w:pPr>
          </w:p>
        </w:tc>
        <w:tc>
          <w:tcPr>
            <w:tcW w:w="7500" w:type="dxa"/>
            <w:vAlign w:val="bottom"/>
            <w:gridSpan w:val="8"/>
          </w:tcPr>
          <w:p>
            <w:pPr>
              <w:spacing w:after="0" w:line="147" w:lineRule="exact"/>
              <w:rPr>
                <w:rFonts w:ascii="Times New Roman" w:cs="Times New Roman" w:eastAsia="Times New Roman" w:hAnsi="Times New Roman"/>
                <w:sz w:val="14"/>
                <w:szCs w:val="14"/>
                <w:color w:val="0000EE"/>
              </w:rPr>
            </w:pPr>
            <w:hyperlink r:id="rId161">
              <w:r>
                <w:rPr>
                  <w:rFonts w:ascii="Times New Roman" w:cs="Times New Roman" w:eastAsia="Times New Roman" w:hAnsi="Times New Roman"/>
                  <w:sz w:val="14"/>
                  <w:szCs w:val="14"/>
                  <w:color w:val="0000EE"/>
                </w:rPr>
                <w:t>December 22, 2025 (File No. 001-43022))</w:t>
              </w:r>
            </w:hyperlink>
          </w:p>
        </w:tc>
      </w:tr>
      <w:tr>
        <w:trPr>
          <w:trHeight w:val="20"/>
        </w:trPr>
        <w:tc>
          <w:tcPr>
            <w:tcW w:w="86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89" w:lineRule="exact"/>
        <w:rPr>
          <w:sz w:val="20"/>
          <w:szCs w:val="20"/>
          <w:color w:val="auto"/>
        </w:rPr>
      </w:pPr>
    </w:p>
    <w:p>
      <w:pPr>
        <w:ind w:left="2260" w:right="559" w:hanging="858"/>
        <w:spacing w:after="0" w:line="278" w:lineRule="auto"/>
        <w:tabs>
          <w:tab w:leader="none" w:pos="1477" w:val="left"/>
        </w:tabs>
        <w:numPr>
          <w:ilvl w:val="0"/>
          <w:numId w:val="59"/>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10.5.1</w:t>
      </w:r>
      <w:hyperlink r:id="rId162">
        <w:r>
          <w:rPr>
            <w:rFonts w:ascii="Times New Roman" w:cs="Times New Roman" w:eastAsia="Times New Roman" w:hAnsi="Times New Roman"/>
            <w:sz w:val="14"/>
            <w:szCs w:val="14"/>
            <w:u w:val="single" w:color="auto"/>
            <w:color w:val="0000EE"/>
          </w:rPr>
          <w:t>Director Nomination Agreement between the Registrant and entities affiliated with Blackstone (incorporated by reference to Exhibit</w:t>
        </w:r>
      </w:hyperlink>
      <w:r>
        <w:rPr>
          <w:rFonts w:ascii="Times New Roman" w:cs="Times New Roman" w:eastAsia="Times New Roman" w:hAnsi="Times New Roman"/>
          <w:sz w:val="14"/>
          <w:szCs w:val="14"/>
          <w:u w:val="single" w:color="auto"/>
          <w:color w:val="0000EE"/>
        </w:rPr>
        <w:t xml:space="preserve"> </w:t>
      </w:r>
      <w:hyperlink r:id="rId162">
        <w:r>
          <w:rPr>
            <w:rFonts w:ascii="Times New Roman" w:cs="Times New Roman" w:eastAsia="Times New Roman" w:hAnsi="Times New Roman"/>
            <w:sz w:val="14"/>
            <w:szCs w:val="14"/>
            <w:u w:val="single" w:color="auto"/>
            <w:color w:val="0000EE"/>
          </w:rPr>
          <w:t>10.5.1 to the Registrant’s Current Report on Form 8-K filed on December 22, 2025 (File No. 001-43022))</w:t>
        </w:r>
      </w:hyperlink>
    </w:p>
    <w:p>
      <w:pPr>
        <w:spacing w:after="0" w:line="42" w:lineRule="exact"/>
        <w:rPr>
          <w:rFonts w:ascii="Times New Roman" w:cs="Times New Roman" w:eastAsia="Times New Roman" w:hAnsi="Times New Roman"/>
          <w:sz w:val="14"/>
          <w:szCs w:val="14"/>
          <w:u w:val="single" w:color="auto"/>
          <w:color w:val="0000EE"/>
        </w:rPr>
      </w:pPr>
    </w:p>
    <w:p>
      <w:pPr>
        <w:ind w:left="2260" w:right="399" w:hanging="858"/>
        <w:spacing w:after="0" w:line="278" w:lineRule="auto"/>
        <w:tabs>
          <w:tab w:leader="none" w:pos="1477" w:val="left"/>
        </w:tabs>
        <w:numPr>
          <w:ilvl w:val="0"/>
          <w:numId w:val="59"/>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10.5.2</w:t>
      </w:r>
      <w:hyperlink r:id="rId163">
        <w:r>
          <w:rPr>
            <w:rFonts w:ascii="Times New Roman" w:cs="Times New Roman" w:eastAsia="Times New Roman" w:hAnsi="Times New Roman"/>
            <w:sz w:val="14"/>
            <w:szCs w:val="14"/>
            <w:u w:val="single" w:color="auto"/>
            <w:color w:val="0000EE"/>
          </w:rPr>
          <w:t>Director Nomination Agreement between the Registrant and entities affiliated with Carlyle (incorporated by reference to Exhibit 10.5.2</w:t>
        </w:r>
      </w:hyperlink>
      <w:r>
        <w:rPr>
          <w:rFonts w:ascii="Times New Roman" w:cs="Times New Roman" w:eastAsia="Times New Roman" w:hAnsi="Times New Roman"/>
          <w:sz w:val="14"/>
          <w:szCs w:val="14"/>
          <w:u w:val="single" w:color="auto"/>
          <w:color w:val="0000EE"/>
        </w:rPr>
        <w:t xml:space="preserve"> </w:t>
      </w:r>
      <w:hyperlink r:id="rId163">
        <w:r>
          <w:rPr>
            <w:rFonts w:ascii="Times New Roman" w:cs="Times New Roman" w:eastAsia="Times New Roman" w:hAnsi="Times New Roman"/>
            <w:sz w:val="14"/>
            <w:szCs w:val="14"/>
            <w:u w:val="single" w:color="auto"/>
            <w:color w:val="0000EE"/>
          </w:rPr>
          <w:t>to the Registrant’s Current Report on Form 8-K filed on December 22, 2025 (File No. 001-43022))</w:t>
        </w:r>
      </w:hyperlink>
    </w:p>
    <w:p>
      <w:pPr>
        <w:spacing w:after="0" w:line="42" w:lineRule="exact"/>
        <w:rPr>
          <w:rFonts w:ascii="Times New Roman" w:cs="Times New Roman" w:eastAsia="Times New Roman" w:hAnsi="Times New Roman"/>
          <w:sz w:val="14"/>
          <w:szCs w:val="14"/>
          <w:u w:val="single" w:color="auto"/>
          <w:color w:val="0000EE"/>
        </w:rPr>
      </w:pPr>
    </w:p>
    <w:p>
      <w:pPr>
        <w:ind w:left="2260" w:right="379" w:hanging="858"/>
        <w:spacing w:after="0" w:line="278" w:lineRule="auto"/>
        <w:tabs>
          <w:tab w:leader="none" w:pos="1477" w:val="left"/>
        </w:tabs>
        <w:numPr>
          <w:ilvl w:val="0"/>
          <w:numId w:val="59"/>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10.5.3</w:t>
      </w:r>
      <w:hyperlink r:id="rId164">
        <w:r>
          <w:rPr>
            <w:rFonts w:ascii="Times New Roman" w:cs="Times New Roman" w:eastAsia="Times New Roman" w:hAnsi="Times New Roman"/>
            <w:sz w:val="14"/>
            <w:szCs w:val="14"/>
            <w:u w:val="single" w:color="auto"/>
            <w:color w:val="0000EE"/>
          </w:rPr>
          <w:t>Director Nomination Agreement between the Registrant and entities affiliated with H&amp;F (incorporated by reference to Exhibit 10.5.3 to</w:t>
        </w:r>
      </w:hyperlink>
      <w:r>
        <w:rPr>
          <w:rFonts w:ascii="Times New Roman" w:cs="Times New Roman" w:eastAsia="Times New Roman" w:hAnsi="Times New Roman"/>
          <w:sz w:val="14"/>
          <w:szCs w:val="14"/>
          <w:u w:val="single" w:color="auto"/>
          <w:color w:val="0000EE"/>
        </w:rPr>
        <w:t xml:space="preserve"> </w:t>
      </w:r>
      <w:hyperlink r:id="rId164">
        <w:r>
          <w:rPr>
            <w:rFonts w:ascii="Times New Roman" w:cs="Times New Roman" w:eastAsia="Times New Roman" w:hAnsi="Times New Roman"/>
            <w:sz w:val="14"/>
            <w:szCs w:val="14"/>
            <w:u w:val="single" w:color="auto"/>
            <w:color w:val="0000EE"/>
          </w:rPr>
          <w:t>the Registrant’s Current Report on Form 8-K filed on December 22, 2025 (File No. 001-43022))</w:t>
        </w:r>
      </w:hyperlink>
    </w:p>
    <w:p>
      <w:pPr>
        <w:spacing w:after="0" w:line="42" w:lineRule="exact"/>
        <w:rPr>
          <w:rFonts w:ascii="Times New Roman" w:cs="Times New Roman" w:eastAsia="Times New Roman" w:hAnsi="Times New Roman"/>
          <w:sz w:val="14"/>
          <w:szCs w:val="14"/>
          <w:u w:val="single" w:color="auto"/>
          <w:color w:val="0000EE"/>
        </w:rPr>
      </w:pPr>
    </w:p>
    <w:p>
      <w:pPr>
        <w:ind w:left="2260" w:right="699" w:hanging="858"/>
        <w:spacing w:after="0" w:line="278" w:lineRule="auto"/>
        <w:tabs>
          <w:tab w:leader="none" w:pos="1477" w:val="left"/>
        </w:tabs>
        <w:numPr>
          <w:ilvl w:val="0"/>
          <w:numId w:val="59"/>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10.5.4</w:t>
      </w:r>
      <w:hyperlink r:id="rId165">
        <w:r>
          <w:rPr>
            <w:rFonts w:ascii="Times New Roman" w:cs="Times New Roman" w:eastAsia="Times New Roman" w:hAnsi="Times New Roman"/>
            <w:sz w:val="14"/>
            <w:szCs w:val="14"/>
            <w:u w:val="single" w:color="auto"/>
            <w:color w:val="0000EE"/>
          </w:rPr>
          <w:t>Director Nomination Agreement between the Registrant and entities affiliated with the Mills Family (incorporated by reference to</w:t>
        </w:r>
      </w:hyperlink>
      <w:r>
        <w:rPr>
          <w:rFonts w:ascii="Times New Roman" w:cs="Times New Roman" w:eastAsia="Times New Roman" w:hAnsi="Times New Roman"/>
          <w:sz w:val="14"/>
          <w:szCs w:val="14"/>
          <w:u w:val="single" w:color="auto"/>
          <w:color w:val="0000EE"/>
        </w:rPr>
        <w:t xml:space="preserve"> </w:t>
      </w:r>
      <w:hyperlink r:id="rId165">
        <w:r>
          <w:rPr>
            <w:rFonts w:ascii="Times New Roman" w:cs="Times New Roman" w:eastAsia="Times New Roman" w:hAnsi="Times New Roman"/>
            <w:sz w:val="14"/>
            <w:szCs w:val="14"/>
            <w:u w:val="single" w:color="auto"/>
            <w:color w:val="0000EE"/>
          </w:rPr>
          <w:t>Exhibit 10.5.4 to the Registrant’s Current Report on Form 8-K filed on December 22, 2025 (File No. 001-43022))</w:t>
        </w:r>
      </w:hyperlink>
    </w:p>
    <w:p>
      <w:pPr>
        <w:spacing w:after="0" w:line="32" w:lineRule="exact"/>
        <w:rPr>
          <w:rFonts w:ascii="Times New Roman" w:cs="Times New Roman" w:eastAsia="Times New Roman" w:hAnsi="Times New Roman"/>
          <w:sz w:val="14"/>
          <w:szCs w:val="14"/>
          <w:color w:val="auto"/>
        </w:rPr>
      </w:pPr>
    </w:p>
    <w:tbl>
      <w:tblPr>
        <w:tblLayout w:type="fixed"/>
        <w:tblInd w:w="1400" w:type="dxa"/>
        <w:tblCellMar>
          <w:top w:w="0" w:type="dxa"/>
          <w:left w:w="0" w:type="dxa"/>
          <w:bottom w:w="0" w:type="dxa"/>
          <w:right w:w="0" w:type="dxa"/>
        </w:tblCellMar>
      </w:tblPr>
      <w:tr>
        <w:trPr>
          <w:trHeight w:val="161"/>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  10.6</w:t>
            </w:r>
          </w:p>
        </w:tc>
        <w:tc>
          <w:tcPr>
            <w:tcW w:w="7540" w:type="dxa"/>
            <w:vAlign w:val="bottom"/>
            <w:gridSpan w:val="8"/>
          </w:tcPr>
          <w:p>
            <w:pPr>
              <w:spacing w:after="0"/>
              <w:rPr>
                <w:rFonts w:ascii="Times New Roman" w:cs="Times New Roman" w:eastAsia="Times New Roman" w:hAnsi="Times New Roman"/>
                <w:sz w:val="14"/>
                <w:szCs w:val="14"/>
                <w:color w:val="0000EE"/>
                <w:w w:val="99"/>
              </w:rPr>
            </w:pPr>
            <w:hyperlink r:id="rId166">
              <w:r>
                <w:rPr>
                  <w:rFonts w:ascii="Times New Roman" w:cs="Times New Roman" w:eastAsia="Times New Roman" w:hAnsi="Times New Roman"/>
                  <w:sz w:val="14"/>
                  <w:szCs w:val="14"/>
                  <w:color w:val="0000EE"/>
                  <w:w w:val="99"/>
                </w:rPr>
                <w:t>Form of Indemnification Agreement (incorporated by reference to Exhibit 10.6 to the Registrant’s Registration Statement on Form S-1</w:t>
              </w:r>
            </w:hyperlink>
          </w:p>
        </w:tc>
      </w:tr>
      <w:tr>
        <w:trPr>
          <w:trHeight w:val="146"/>
        </w:trPr>
        <w:tc>
          <w:tcPr>
            <w:tcW w:w="860" w:type="dxa"/>
            <w:vAlign w:val="bottom"/>
          </w:tcPr>
          <w:p>
            <w:pPr>
              <w:spacing w:after="0"/>
              <w:rPr>
                <w:sz w:val="12"/>
                <w:szCs w:val="12"/>
                <w:color w:val="auto"/>
              </w:rPr>
            </w:pPr>
          </w:p>
        </w:tc>
        <w:tc>
          <w:tcPr>
            <w:tcW w:w="7460" w:type="dxa"/>
            <w:vAlign w:val="bottom"/>
            <w:tcBorders>
              <w:top w:val="single" w:sz="8" w:color="0000EE"/>
            </w:tcBorders>
            <w:gridSpan w:val="5"/>
          </w:tcPr>
          <w:p>
            <w:pPr>
              <w:spacing w:after="0" w:line="147" w:lineRule="exact"/>
              <w:rPr>
                <w:rFonts w:ascii="Times New Roman" w:cs="Times New Roman" w:eastAsia="Times New Roman" w:hAnsi="Times New Roman"/>
                <w:sz w:val="14"/>
                <w:szCs w:val="14"/>
                <w:color w:val="0000EE"/>
              </w:rPr>
            </w:pPr>
            <w:hyperlink r:id="rId166">
              <w:r>
                <w:rPr>
                  <w:rFonts w:ascii="Times New Roman" w:cs="Times New Roman" w:eastAsia="Times New Roman" w:hAnsi="Times New Roman"/>
                  <w:sz w:val="14"/>
                  <w:szCs w:val="14"/>
                  <w:color w:val="0000EE"/>
                </w:rPr>
                <w:t>filed on October 28, 2025 (File No. 333-291112))</w:t>
              </w:r>
            </w:hyperlink>
          </w:p>
        </w:tc>
        <w:tc>
          <w:tcPr>
            <w:tcW w:w="80" w:type="dxa"/>
            <w:vAlign w:val="bottom"/>
            <w:gridSpan w:val="3"/>
          </w:tcPr>
          <w:p>
            <w:pPr>
              <w:spacing w:after="0"/>
              <w:rPr>
                <w:sz w:val="12"/>
                <w:szCs w:val="12"/>
                <w:color w:val="auto"/>
              </w:rPr>
            </w:pPr>
          </w:p>
        </w:tc>
      </w:tr>
      <w:tr>
        <w:trPr>
          <w:trHeight w:val="20"/>
        </w:trPr>
        <w:tc>
          <w:tcPr>
            <w:tcW w:w="860" w:type="dxa"/>
            <w:vAlign w:val="bottom"/>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  10.7</w:t>
            </w:r>
          </w:p>
        </w:tc>
        <w:tc>
          <w:tcPr>
            <w:tcW w:w="7540" w:type="dxa"/>
            <w:vAlign w:val="bottom"/>
            <w:gridSpan w:val="8"/>
          </w:tcPr>
          <w:p>
            <w:pPr>
              <w:spacing w:after="0"/>
              <w:rPr>
                <w:rFonts w:ascii="Times New Roman" w:cs="Times New Roman" w:eastAsia="Times New Roman" w:hAnsi="Times New Roman"/>
                <w:sz w:val="14"/>
                <w:szCs w:val="14"/>
                <w:color w:val="0000EE"/>
              </w:rPr>
            </w:pPr>
            <w:hyperlink r:id="rId167">
              <w:r>
                <w:rPr>
                  <w:rFonts w:ascii="Times New Roman" w:cs="Times New Roman" w:eastAsia="Times New Roman" w:hAnsi="Times New Roman"/>
                  <w:sz w:val="14"/>
                  <w:szCs w:val="14"/>
                  <w:color w:val="0000EE"/>
                </w:rPr>
                <w:t>Support and Services Agreement, dated as of October 21, 2021, among Medline Holdings, LP (f/k/a Mozart Holdings, LP), Medline</w:t>
              </w:r>
            </w:hyperlink>
          </w:p>
        </w:tc>
      </w:tr>
      <w:tr>
        <w:trPr>
          <w:trHeight w:val="20"/>
        </w:trPr>
        <w:tc>
          <w:tcPr>
            <w:tcW w:w="860" w:type="dxa"/>
            <w:vAlign w:val="bottom"/>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3640" w:type="dxa"/>
            <w:vAlign w:val="bottom"/>
            <w:gridSpan w:val="2"/>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6"/>
        </w:trPr>
        <w:tc>
          <w:tcPr>
            <w:tcW w:w="860" w:type="dxa"/>
            <w:vAlign w:val="bottom"/>
          </w:tcPr>
          <w:p>
            <w:pPr>
              <w:spacing w:after="0"/>
              <w:rPr>
                <w:sz w:val="12"/>
                <w:szCs w:val="12"/>
                <w:color w:val="auto"/>
              </w:rPr>
            </w:pPr>
          </w:p>
        </w:tc>
        <w:tc>
          <w:tcPr>
            <w:tcW w:w="7520" w:type="dxa"/>
            <w:vAlign w:val="bottom"/>
            <w:tcBorders>
              <w:bottom w:val="single" w:sz="8" w:color="0000EE"/>
            </w:tcBorders>
            <w:gridSpan w:val="7"/>
          </w:tcPr>
          <w:p>
            <w:pPr>
              <w:spacing w:after="0" w:line="147" w:lineRule="exact"/>
              <w:rPr>
                <w:rFonts w:ascii="Times New Roman" w:cs="Times New Roman" w:eastAsia="Times New Roman" w:hAnsi="Times New Roman"/>
                <w:sz w:val="14"/>
                <w:szCs w:val="14"/>
                <w:color w:val="0000EE"/>
                <w:w w:val="98"/>
              </w:rPr>
            </w:pPr>
            <w:hyperlink r:id="rId167">
              <w:r>
                <w:rPr>
                  <w:rFonts w:ascii="Times New Roman" w:cs="Times New Roman" w:eastAsia="Times New Roman" w:hAnsi="Times New Roman"/>
                  <w:sz w:val="14"/>
                  <w:szCs w:val="14"/>
                  <w:color w:val="0000EE"/>
                  <w:w w:val="98"/>
                </w:rPr>
                <w:t>Industries, LP, Blackstone Capital Partners VIII L.P. and Blackstone Management Partners L.L.C. (incorporated by reference to Exhibit</w:t>
              </w:r>
            </w:hyperlink>
          </w:p>
        </w:tc>
        <w:tc>
          <w:tcPr>
            <w:tcW w:w="20" w:type="dxa"/>
            <w:vAlign w:val="bottom"/>
          </w:tcPr>
          <w:p>
            <w:pPr>
              <w:spacing w:after="0"/>
              <w:rPr>
                <w:sz w:val="12"/>
                <w:szCs w:val="12"/>
                <w:color w:val="auto"/>
              </w:rPr>
            </w:pPr>
          </w:p>
        </w:tc>
      </w:tr>
      <w:tr>
        <w:trPr>
          <w:trHeight w:val="146"/>
        </w:trPr>
        <w:tc>
          <w:tcPr>
            <w:tcW w:w="860" w:type="dxa"/>
            <w:vAlign w:val="bottom"/>
          </w:tcPr>
          <w:p>
            <w:pPr>
              <w:spacing w:after="0"/>
              <w:rPr>
                <w:sz w:val="12"/>
                <w:szCs w:val="12"/>
                <w:color w:val="auto"/>
              </w:rPr>
            </w:pPr>
          </w:p>
        </w:tc>
        <w:tc>
          <w:tcPr>
            <w:tcW w:w="6100" w:type="dxa"/>
            <w:vAlign w:val="bottom"/>
            <w:tcBorders>
              <w:bottom w:val="single" w:sz="8" w:color="0000EE"/>
            </w:tcBorders>
            <w:gridSpan w:val="3"/>
          </w:tcPr>
          <w:p>
            <w:pPr>
              <w:spacing w:after="0" w:line="147" w:lineRule="exact"/>
              <w:rPr>
                <w:rFonts w:ascii="Times New Roman" w:cs="Times New Roman" w:eastAsia="Times New Roman" w:hAnsi="Times New Roman"/>
                <w:sz w:val="14"/>
                <w:szCs w:val="14"/>
                <w:color w:val="0000EE"/>
                <w:w w:val="98"/>
              </w:rPr>
            </w:pPr>
            <w:hyperlink r:id="rId167">
              <w:r>
                <w:rPr>
                  <w:rFonts w:ascii="Times New Roman" w:cs="Times New Roman" w:eastAsia="Times New Roman" w:hAnsi="Times New Roman"/>
                  <w:sz w:val="14"/>
                  <w:szCs w:val="14"/>
                  <w:color w:val="0000EE"/>
                  <w:w w:val="98"/>
                </w:rPr>
                <w:t>10.</w:t>
              </w:r>
              <w:r>
                <w:rPr>
                  <w:rFonts w:ascii="Times New Roman" w:cs="Times New Roman" w:eastAsia="Times New Roman" w:hAnsi="Times New Roman"/>
                  <w:sz w:val="14"/>
                  <w:szCs w:val="14"/>
                  <w:u w:val="single" w:color="auto"/>
                  <w:color w:val="0000EE"/>
                  <w:w w:val="98"/>
                </w:rPr>
                <w:t>7</w:t>
              </w:r>
              <w:r>
                <w:rPr>
                  <w:rFonts w:ascii="Times New Roman" w:cs="Times New Roman" w:eastAsia="Times New Roman" w:hAnsi="Times New Roman"/>
                  <w:sz w:val="14"/>
                  <w:szCs w:val="14"/>
                  <w:color w:val="0000EE"/>
                  <w:w w:val="98"/>
                </w:rPr>
                <w:t xml:space="preserve"> to the Registrant’s Registration Statement on Form S-1 filed on October 28, 2025 (File No. 333-291112))</w:t>
              </w:r>
            </w:hyperlink>
          </w:p>
        </w:tc>
        <w:tc>
          <w:tcPr>
            <w:tcW w:w="1440" w:type="dxa"/>
            <w:vAlign w:val="bottom"/>
            <w:gridSpan w:val="5"/>
          </w:tcPr>
          <w:p>
            <w:pPr>
              <w:spacing w:after="0"/>
              <w:rPr>
                <w:sz w:val="12"/>
                <w:szCs w:val="12"/>
                <w:color w:val="auto"/>
              </w:rPr>
            </w:pPr>
          </w:p>
        </w:tc>
      </w:tr>
      <w:tr>
        <w:trPr>
          <w:trHeight w:val="230"/>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  10.8</w:t>
            </w:r>
          </w:p>
        </w:tc>
        <w:tc>
          <w:tcPr>
            <w:tcW w:w="7540" w:type="dxa"/>
            <w:vAlign w:val="bottom"/>
            <w:gridSpan w:val="8"/>
          </w:tcPr>
          <w:p>
            <w:pPr>
              <w:spacing w:after="0"/>
              <w:rPr>
                <w:rFonts w:ascii="Times New Roman" w:cs="Times New Roman" w:eastAsia="Times New Roman" w:hAnsi="Times New Roman"/>
                <w:sz w:val="14"/>
                <w:szCs w:val="14"/>
                <w:color w:val="0000EE"/>
                <w:w w:val="99"/>
              </w:rPr>
            </w:pPr>
            <w:hyperlink r:id="rId168">
              <w:r>
                <w:rPr>
                  <w:rFonts w:ascii="Times New Roman" w:cs="Times New Roman" w:eastAsia="Times New Roman" w:hAnsi="Times New Roman"/>
                  <w:sz w:val="14"/>
                  <w:szCs w:val="14"/>
                  <w:color w:val="0000EE"/>
                  <w:w w:val="99"/>
                </w:rPr>
                <w:t>Consulting Services Agreement, dated as of October 21, 2021, between Medline Holdings, LP (f/k/a Mozart Holdings, LP) and Carlyle</w:t>
              </w:r>
            </w:hyperlink>
          </w:p>
        </w:tc>
      </w:tr>
      <w:tr>
        <w:trPr>
          <w:trHeight w:val="146"/>
        </w:trPr>
        <w:tc>
          <w:tcPr>
            <w:tcW w:w="860" w:type="dxa"/>
            <w:vAlign w:val="bottom"/>
          </w:tcPr>
          <w:p>
            <w:pPr>
              <w:spacing w:after="0"/>
              <w:rPr>
                <w:sz w:val="12"/>
                <w:szCs w:val="12"/>
                <w:color w:val="auto"/>
              </w:rPr>
            </w:pPr>
          </w:p>
        </w:tc>
        <w:tc>
          <w:tcPr>
            <w:tcW w:w="7520" w:type="dxa"/>
            <w:vAlign w:val="bottom"/>
            <w:tcBorders>
              <w:top w:val="single" w:sz="8" w:color="0000EE"/>
            </w:tcBorders>
            <w:gridSpan w:val="7"/>
          </w:tcPr>
          <w:p>
            <w:pPr>
              <w:spacing w:after="0" w:line="147" w:lineRule="exact"/>
              <w:rPr>
                <w:rFonts w:ascii="Times New Roman" w:cs="Times New Roman" w:eastAsia="Times New Roman" w:hAnsi="Times New Roman"/>
                <w:sz w:val="14"/>
                <w:szCs w:val="14"/>
                <w:color w:val="0000EE"/>
                <w:w w:val="98"/>
              </w:rPr>
            </w:pPr>
            <w:hyperlink r:id="rId168">
              <w:r>
                <w:rPr>
                  <w:rFonts w:ascii="Times New Roman" w:cs="Times New Roman" w:eastAsia="Times New Roman" w:hAnsi="Times New Roman"/>
                  <w:sz w:val="14"/>
                  <w:szCs w:val="14"/>
                  <w:color w:val="0000EE"/>
                  <w:w w:val="98"/>
                </w:rPr>
                <w:t>Investment Management L.L.C. (incorporated by reference to Exhibit 10.8 to the Registrant’s Registration Statement on Form S-1 filed</w:t>
              </w:r>
            </w:hyperlink>
          </w:p>
        </w:tc>
        <w:tc>
          <w:tcPr>
            <w:tcW w:w="20" w:type="dxa"/>
            <w:vAlign w:val="bottom"/>
          </w:tcPr>
          <w:p>
            <w:pPr>
              <w:spacing w:after="0"/>
              <w:rPr>
                <w:sz w:val="12"/>
                <w:szCs w:val="12"/>
                <w:color w:val="auto"/>
              </w:rPr>
            </w:pPr>
          </w:p>
        </w:tc>
      </w:tr>
      <w:tr>
        <w:trPr>
          <w:trHeight w:val="146"/>
        </w:trPr>
        <w:tc>
          <w:tcPr>
            <w:tcW w:w="860" w:type="dxa"/>
            <w:vAlign w:val="bottom"/>
          </w:tcPr>
          <w:p>
            <w:pPr>
              <w:spacing w:after="0"/>
              <w:rPr>
                <w:sz w:val="12"/>
                <w:szCs w:val="12"/>
                <w:color w:val="auto"/>
              </w:rPr>
            </w:pPr>
          </w:p>
        </w:tc>
        <w:tc>
          <w:tcPr>
            <w:tcW w:w="2460" w:type="dxa"/>
            <w:vAlign w:val="bottom"/>
            <w:tcBorders>
              <w:top w:val="single" w:sz="8" w:color="0000EE"/>
              <w:bottom w:val="single" w:sz="8" w:color="0000EE"/>
            </w:tcBorders>
          </w:tcPr>
          <w:p>
            <w:pPr>
              <w:spacing w:after="0" w:line="147" w:lineRule="exact"/>
              <w:rPr>
                <w:rFonts w:ascii="Times New Roman" w:cs="Times New Roman" w:eastAsia="Times New Roman" w:hAnsi="Times New Roman"/>
                <w:sz w:val="14"/>
                <w:szCs w:val="14"/>
                <w:color w:val="0000EE"/>
                <w:w w:val="97"/>
              </w:rPr>
            </w:pPr>
            <w:hyperlink r:id="rId168">
              <w:r>
                <w:rPr>
                  <w:rFonts w:ascii="Times New Roman" w:cs="Times New Roman" w:eastAsia="Times New Roman" w:hAnsi="Times New Roman"/>
                  <w:sz w:val="14"/>
                  <w:szCs w:val="14"/>
                  <w:color w:val="0000EE"/>
                  <w:w w:val="97"/>
                </w:rPr>
                <w:t>on October 28, 2025 (File No. 333-291112))</w:t>
              </w:r>
            </w:hyperlink>
          </w:p>
        </w:tc>
        <w:tc>
          <w:tcPr>
            <w:tcW w:w="5040" w:type="dxa"/>
            <w:vAlign w:val="bottom"/>
            <w:tcBorders>
              <w:top w:val="single" w:sz="8" w:color="0000EE"/>
            </w:tcBorders>
            <w:gridSpan w:val="5"/>
          </w:tcPr>
          <w:p>
            <w:pPr>
              <w:spacing w:after="0"/>
              <w:rPr>
                <w:sz w:val="12"/>
                <w:szCs w:val="12"/>
                <w:color w:val="auto"/>
              </w:rPr>
            </w:pPr>
          </w:p>
        </w:tc>
        <w:tc>
          <w:tcPr>
            <w:tcW w:w="40" w:type="dxa"/>
            <w:vAlign w:val="bottom"/>
            <w:gridSpan w:val="2"/>
          </w:tcPr>
          <w:p>
            <w:pPr>
              <w:spacing w:after="0"/>
              <w:rPr>
                <w:sz w:val="12"/>
                <w:szCs w:val="12"/>
                <w:color w:val="auto"/>
              </w:rPr>
            </w:pPr>
          </w:p>
        </w:tc>
      </w:tr>
    </w:tbl>
    <w:p>
      <w:pPr>
        <w:spacing w:after="0" w:line="12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II-6</w:t>
      </w:r>
    </w:p>
    <w:p>
      <w:pPr>
        <w:sectPr>
          <w:pgSz w:w="11900" w:h="16838" w:orient="portrait"/>
          <w:cols w:equalWidth="0" w:num="1">
            <w:col w:w="10159"/>
          </w:cols>
          <w:pgMar w:left="300" w:top="383" w:right="1440"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30" w:lineRule="exact"/>
        <w:rPr>
          <w:sz w:val="20"/>
          <w:szCs w:val="20"/>
          <w:color w:val="auto"/>
        </w:rPr>
      </w:pPr>
    </w:p>
    <w:tbl>
      <w:tblPr>
        <w:tblLayout w:type="fixed"/>
        <w:tblInd w:w="1480" w:type="dxa"/>
        <w:tblCellMar>
          <w:top w:w="0" w:type="dxa"/>
          <w:left w:w="0" w:type="dxa"/>
          <w:bottom w:w="0" w:type="dxa"/>
          <w:right w:w="0" w:type="dxa"/>
        </w:tblCellMar>
      </w:tblPr>
      <w:tr>
        <w:trPr>
          <w:trHeight w:val="126"/>
        </w:trPr>
        <w:tc>
          <w:tcPr>
            <w:tcW w:w="2320" w:type="dxa"/>
            <w:vAlign w:val="bottom"/>
          </w:tcPr>
          <w:p>
            <w:pPr>
              <w:jc w:val="center"/>
              <w:ind w:right="1905"/>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2500" w:type="dxa"/>
            <w:vAlign w:val="bottom"/>
            <w:vMerge w:val="restart"/>
          </w:tcPr>
          <w:p>
            <w:pPr>
              <w:ind w:left="1960"/>
              <w:spacing w:after="0"/>
              <w:rPr>
                <w:sz w:val="20"/>
                <w:szCs w:val="20"/>
                <w:color w:val="auto"/>
              </w:rPr>
            </w:pPr>
            <w:r>
              <w:rPr>
                <w:rFonts w:ascii="Times New Roman" w:cs="Times New Roman" w:eastAsia="Times New Roman" w:hAnsi="Times New Roman"/>
                <w:sz w:val="11"/>
                <w:szCs w:val="11"/>
                <w:b w:val="1"/>
                <w:bCs w:val="1"/>
                <w:color w:val="auto"/>
                <w:w w:val="95"/>
              </w:rPr>
              <w:t>Description</w:t>
            </w:r>
          </w:p>
        </w:tc>
        <w:tc>
          <w:tcPr>
            <w:tcW w:w="0" w:type="dxa"/>
            <w:vAlign w:val="bottom"/>
          </w:tcPr>
          <w:p>
            <w:pPr>
              <w:spacing w:after="0"/>
              <w:rPr>
                <w:sz w:val="1"/>
                <w:szCs w:val="1"/>
                <w:color w:val="auto"/>
              </w:rPr>
            </w:pPr>
          </w:p>
        </w:tc>
      </w:tr>
      <w:tr>
        <w:trPr>
          <w:trHeight w:val="145"/>
        </w:trPr>
        <w:tc>
          <w:tcPr>
            <w:tcW w:w="2320" w:type="dxa"/>
            <w:vAlign w:val="bottom"/>
          </w:tcPr>
          <w:p>
            <w:pPr>
              <w:jc w:val="center"/>
              <w:ind w:right="1905"/>
              <w:spacing w:after="0"/>
              <w:rPr>
                <w:sz w:val="20"/>
                <w:szCs w:val="20"/>
                <w:color w:val="auto"/>
              </w:rPr>
            </w:pPr>
            <w:r>
              <w:rPr>
                <w:rFonts w:ascii="Times New Roman" w:cs="Times New Roman" w:eastAsia="Times New Roman" w:hAnsi="Times New Roman"/>
                <w:sz w:val="11"/>
                <w:szCs w:val="11"/>
                <w:b w:val="1"/>
                <w:bCs w:val="1"/>
                <w:u w:val="single" w:color="auto"/>
                <w:color w:val="auto"/>
                <w:w w:val="98"/>
              </w:rPr>
              <w:t>No.</w:t>
            </w:r>
          </w:p>
        </w:tc>
        <w:tc>
          <w:tcPr>
            <w:tcW w:w="2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1381760</wp:posOffset>
            </wp:positionH>
            <wp:positionV relativeFrom="paragraph">
              <wp:posOffset>0</wp:posOffset>
            </wp:positionV>
            <wp:extent cx="4899025" cy="63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0">
                      <a:extLst>
                        <a:ext uri="{28A0092B-C50C-407E-A947-70E740481C1C}"/>
                      </a:extLst>
                    </a:blip>
                    <a:srcRect/>
                    <a:stretch>
                      <a:fillRect/>
                    </a:stretch>
                  </pic:blipFill>
                  <pic:spPr bwMode="auto">
                    <a:xfrm>
                      <a:off x="0" y="0"/>
                      <a:ext cx="4899025" cy="6350"/>
                    </a:xfrm>
                    <a:prstGeom prst="rect">
                      <a:avLst/>
                    </a:prstGeom>
                    <a:noFill/>
                  </pic:spPr>
                </pic:pic>
              </a:graphicData>
            </a:graphic>
          </wp:anchor>
        </w:drawing>
      </w:r>
    </w:p>
    <w:p>
      <w:pPr>
        <w:spacing w:after="0" w:line="48" w:lineRule="exact"/>
        <w:rPr>
          <w:sz w:val="20"/>
          <w:szCs w:val="20"/>
          <w:color w:val="auto"/>
        </w:rPr>
      </w:pPr>
    </w:p>
    <w:p>
      <w:pPr>
        <w:ind w:left="2180" w:right="379" w:hanging="778"/>
        <w:spacing w:after="0" w:line="263" w:lineRule="auto"/>
        <w:tabs>
          <w:tab w:leader="none" w:pos="1480" w:val="left"/>
        </w:tabs>
        <w:numPr>
          <w:ilvl w:val="0"/>
          <w:numId w:val="60"/>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10.9</w:t>
      </w:r>
      <w:hyperlink r:id="rId171">
        <w:r>
          <w:rPr>
            <w:rFonts w:ascii="Times New Roman" w:cs="Times New Roman" w:eastAsia="Times New Roman" w:hAnsi="Times New Roman"/>
            <w:sz w:val="14"/>
            <w:szCs w:val="14"/>
            <w:u w:val="single" w:color="auto"/>
            <w:color w:val="0000EE"/>
          </w:rPr>
          <w:t>Service Agreement, dated as of October 21, 2021, between Medline Holdings, LP (f/k/a Mozart Holdings, LP) and Hellman &amp; Friedman</w:t>
        </w:r>
      </w:hyperlink>
      <w:r>
        <w:rPr>
          <w:rFonts w:ascii="Times New Roman" w:cs="Times New Roman" w:eastAsia="Times New Roman" w:hAnsi="Times New Roman"/>
          <w:sz w:val="14"/>
          <w:szCs w:val="14"/>
          <w:u w:val="single" w:color="auto"/>
          <w:color w:val="0000EE"/>
        </w:rPr>
        <w:t xml:space="preserve"> </w:t>
      </w:r>
      <w:hyperlink r:id="rId171">
        <w:r>
          <w:rPr>
            <w:rFonts w:ascii="Times New Roman" w:cs="Times New Roman" w:eastAsia="Times New Roman" w:hAnsi="Times New Roman"/>
            <w:sz w:val="14"/>
            <w:szCs w:val="14"/>
            <w:u w:val="single" w:color="auto"/>
            <w:color w:val="0000EE"/>
          </w:rPr>
          <w:t>LP (incorporated by reference to Exhibit 10.9 to the Registrant’s Registration Statement on Form S-1 filed on October 28, 2025 (File</w:t>
        </w:r>
      </w:hyperlink>
      <w:r>
        <w:rPr>
          <w:rFonts w:ascii="Times New Roman" w:cs="Times New Roman" w:eastAsia="Times New Roman" w:hAnsi="Times New Roman"/>
          <w:sz w:val="14"/>
          <w:szCs w:val="14"/>
          <w:u w:val="single" w:color="auto"/>
          <w:color w:val="0000EE"/>
        </w:rPr>
        <w:t xml:space="preserve"> </w:t>
      </w:r>
      <w:hyperlink r:id="rId171">
        <w:r>
          <w:rPr>
            <w:rFonts w:ascii="Times New Roman" w:cs="Times New Roman" w:eastAsia="Times New Roman" w:hAnsi="Times New Roman"/>
            <w:sz w:val="14"/>
            <w:szCs w:val="14"/>
            <w:u w:val="single" w:color="auto"/>
            <w:color w:val="0000EE"/>
          </w:rPr>
          <w:t>No. 333-291112))</w:t>
        </w:r>
      </w:hyperlink>
    </w:p>
    <w:p>
      <w:pPr>
        <w:spacing w:after="0" w:line="53" w:lineRule="exact"/>
        <w:rPr>
          <w:rFonts w:ascii="Times New Roman" w:cs="Times New Roman" w:eastAsia="Times New Roman" w:hAnsi="Times New Roman"/>
          <w:sz w:val="14"/>
          <w:szCs w:val="14"/>
          <w:u w:val="single" w:color="auto"/>
          <w:color w:val="0000EE"/>
        </w:rPr>
      </w:pPr>
    </w:p>
    <w:p>
      <w:pPr>
        <w:ind w:left="2180" w:right="439" w:hanging="778"/>
        <w:spacing w:after="0" w:line="263" w:lineRule="auto"/>
        <w:tabs>
          <w:tab w:leader="none" w:pos="1480" w:val="left"/>
        </w:tabs>
        <w:numPr>
          <w:ilvl w:val="0"/>
          <w:numId w:val="60"/>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10.10</w:t>
      </w:r>
      <w:hyperlink r:id="rId172">
        <w:r>
          <w:rPr>
            <w:rFonts w:ascii="Times New Roman" w:cs="Times New Roman" w:eastAsia="Times New Roman" w:hAnsi="Times New Roman"/>
            <w:sz w:val="14"/>
            <w:szCs w:val="14"/>
            <w:u w:val="single" w:color="auto"/>
            <w:color w:val="0000EE"/>
          </w:rPr>
          <w:t>Service Agreement, dated as of October 21, 2021, between Medline Holdings, LP (f/k/a Mozart Holdings, LP) and Mozart Holdco, Inc.</w:t>
        </w:r>
      </w:hyperlink>
      <w:r>
        <w:rPr>
          <w:rFonts w:ascii="Times New Roman" w:cs="Times New Roman" w:eastAsia="Times New Roman" w:hAnsi="Times New Roman"/>
          <w:sz w:val="14"/>
          <w:szCs w:val="14"/>
          <w:u w:val="single" w:color="auto"/>
          <w:color w:val="0000EE"/>
        </w:rPr>
        <w:t xml:space="preserve"> </w:t>
      </w:r>
      <w:hyperlink r:id="rId172">
        <w:r>
          <w:rPr>
            <w:rFonts w:ascii="Times New Roman" w:cs="Times New Roman" w:eastAsia="Times New Roman" w:hAnsi="Times New Roman"/>
            <w:sz w:val="14"/>
            <w:szCs w:val="14"/>
            <w:u w:val="single" w:color="auto"/>
            <w:color w:val="0000EE"/>
          </w:rPr>
          <w:t>(incorporated by reference to Exhibit 10.10 to the Registrant’s Registration Statement on Form S-1 filed on October 28, 2025 (File</w:t>
        </w:r>
      </w:hyperlink>
      <w:r>
        <w:rPr>
          <w:rFonts w:ascii="Times New Roman" w:cs="Times New Roman" w:eastAsia="Times New Roman" w:hAnsi="Times New Roman"/>
          <w:sz w:val="14"/>
          <w:szCs w:val="14"/>
          <w:u w:val="single" w:color="auto"/>
          <w:color w:val="0000EE"/>
        </w:rPr>
        <w:t xml:space="preserve"> </w:t>
      </w:r>
      <w:hyperlink r:id="rId172">
        <w:r>
          <w:rPr>
            <w:rFonts w:ascii="Times New Roman" w:cs="Times New Roman" w:eastAsia="Times New Roman" w:hAnsi="Times New Roman"/>
            <w:sz w:val="14"/>
            <w:szCs w:val="14"/>
            <w:u w:val="single" w:color="auto"/>
            <w:color w:val="0000EE"/>
          </w:rPr>
          <w:t>No. 333-291112))</w:t>
        </w:r>
      </w:hyperlink>
    </w:p>
    <w:p>
      <w:pPr>
        <w:spacing w:after="0" w:line="53" w:lineRule="exact"/>
        <w:rPr>
          <w:rFonts w:ascii="Times New Roman" w:cs="Times New Roman" w:eastAsia="Times New Roman" w:hAnsi="Times New Roman"/>
          <w:sz w:val="14"/>
          <w:szCs w:val="14"/>
          <w:u w:val="single" w:color="auto"/>
          <w:color w:val="0000EE"/>
        </w:rPr>
      </w:pPr>
    </w:p>
    <w:p>
      <w:pPr>
        <w:ind w:left="2180" w:right="359" w:hanging="778"/>
        <w:spacing w:after="0" w:line="278" w:lineRule="auto"/>
        <w:tabs>
          <w:tab w:leader="none" w:pos="1480" w:val="left"/>
        </w:tabs>
        <w:numPr>
          <w:ilvl w:val="0"/>
          <w:numId w:val="60"/>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10.11</w:t>
      </w:r>
      <w:hyperlink r:id="rId173">
        <w:r>
          <w:rPr>
            <w:rFonts w:ascii="Times New Roman" w:cs="Times New Roman" w:eastAsia="Times New Roman" w:hAnsi="Times New Roman"/>
            <w:sz w:val="14"/>
            <w:szCs w:val="14"/>
            <w:u w:val="single" w:color="auto"/>
            <w:color w:val="0000EE"/>
          </w:rPr>
          <w:t>Medline Inc. 2025 Omnibus Incentive Plan (incorporated by reference to Exhibit 4.3 filed with the Registrant’s Registration Statement on</w:t>
        </w:r>
      </w:hyperlink>
      <w:r>
        <w:rPr>
          <w:rFonts w:ascii="Times New Roman" w:cs="Times New Roman" w:eastAsia="Times New Roman" w:hAnsi="Times New Roman"/>
          <w:sz w:val="14"/>
          <w:szCs w:val="14"/>
          <w:u w:val="single" w:color="auto"/>
          <w:color w:val="0000EE"/>
        </w:rPr>
        <w:t xml:space="preserve"> </w:t>
      </w:r>
      <w:hyperlink r:id="rId173">
        <w:r>
          <w:rPr>
            <w:rFonts w:ascii="Times New Roman" w:cs="Times New Roman" w:eastAsia="Times New Roman" w:hAnsi="Times New Roman"/>
            <w:sz w:val="14"/>
            <w:szCs w:val="14"/>
            <w:u w:val="single" w:color="auto"/>
            <w:color w:val="0000EE"/>
          </w:rPr>
          <w:t>Form S-8 filed with the Securities and Exchange Commission on December 16, 2025)†</w:t>
        </w:r>
      </w:hyperlink>
    </w:p>
    <w:p>
      <w:pPr>
        <w:spacing w:after="0" w:line="42" w:lineRule="exact"/>
        <w:rPr>
          <w:rFonts w:ascii="Times New Roman" w:cs="Times New Roman" w:eastAsia="Times New Roman" w:hAnsi="Times New Roman"/>
          <w:sz w:val="14"/>
          <w:szCs w:val="14"/>
          <w:u w:val="single" w:color="auto"/>
          <w:color w:val="0000EE"/>
        </w:rPr>
      </w:pPr>
    </w:p>
    <w:p>
      <w:pPr>
        <w:ind w:left="2180" w:right="659" w:hanging="778"/>
        <w:spacing w:after="0" w:line="278" w:lineRule="auto"/>
        <w:tabs>
          <w:tab w:leader="none" w:pos="1480" w:val="left"/>
        </w:tabs>
        <w:numPr>
          <w:ilvl w:val="0"/>
          <w:numId w:val="60"/>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10.12</w:t>
      </w:r>
      <w:hyperlink r:id="rId174">
        <w:r>
          <w:rPr>
            <w:rFonts w:ascii="Times New Roman" w:cs="Times New Roman" w:eastAsia="Times New Roman" w:hAnsi="Times New Roman"/>
            <w:sz w:val="14"/>
            <w:szCs w:val="14"/>
            <w:u w:val="single" w:color="auto"/>
            <w:color w:val="0000EE"/>
          </w:rPr>
          <w:t>Employment Agreement between Medline Industries, LP and James M. Boyle, dated October 1, 2023 (incorporated by reference to</w:t>
        </w:r>
      </w:hyperlink>
      <w:r>
        <w:rPr>
          <w:rFonts w:ascii="Times New Roman" w:cs="Times New Roman" w:eastAsia="Times New Roman" w:hAnsi="Times New Roman"/>
          <w:sz w:val="14"/>
          <w:szCs w:val="14"/>
          <w:u w:val="single" w:color="auto"/>
          <w:color w:val="0000EE"/>
        </w:rPr>
        <w:t xml:space="preserve"> </w:t>
      </w:r>
      <w:hyperlink r:id="rId174">
        <w:r>
          <w:rPr>
            <w:rFonts w:ascii="Times New Roman" w:cs="Times New Roman" w:eastAsia="Times New Roman" w:hAnsi="Times New Roman"/>
            <w:sz w:val="14"/>
            <w:szCs w:val="14"/>
            <w:u w:val="single" w:color="auto"/>
            <w:color w:val="0000EE"/>
          </w:rPr>
          <w:t>Exhibit 10.12 to the Registrant’s Registration Statement on Form S-1 filed on October 28, 2025 (File No. 333-291112))†</w:t>
        </w:r>
      </w:hyperlink>
    </w:p>
    <w:p>
      <w:pPr>
        <w:spacing w:after="0" w:line="42" w:lineRule="exact"/>
        <w:rPr>
          <w:rFonts w:ascii="Times New Roman" w:cs="Times New Roman" w:eastAsia="Times New Roman" w:hAnsi="Times New Roman"/>
          <w:sz w:val="14"/>
          <w:szCs w:val="14"/>
          <w:u w:val="single" w:color="auto"/>
          <w:color w:val="0000EE"/>
        </w:rPr>
      </w:pPr>
    </w:p>
    <w:p>
      <w:pPr>
        <w:ind w:left="2180" w:right="659" w:hanging="778"/>
        <w:spacing w:after="0" w:line="278" w:lineRule="auto"/>
        <w:tabs>
          <w:tab w:leader="none" w:pos="1480" w:val="left"/>
        </w:tabs>
        <w:numPr>
          <w:ilvl w:val="0"/>
          <w:numId w:val="60"/>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10.13</w:t>
      </w:r>
      <w:hyperlink r:id="rId175">
        <w:r>
          <w:rPr>
            <w:rFonts w:ascii="Times New Roman" w:cs="Times New Roman" w:eastAsia="Times New Roman" w:hAnsi="Times New Roman"/>
            <w:sz w:val="14"/>
            <w:szCs w:val="14"/>
            <w:u w:val="single" w:color="auto"/>
            <w:color w:val="0000EE"/>
          </w:rPr>
          <w:t>Employment Agreement between Medline Industries, LP and James M. Pigott, dated October 1, 2023 (incorporated by reference to</w:t>
        </w:r>
      </w:hyperlink>
      <w:r>
        <w:rPr>
          <w:rFonts w:ascii="Times New Roman" w:cs="Times New Roman" w:eastAsia="Times New Roman" w:hAnsi="Times New Roman"/>
          <w:sz w:val="14"/>
          <w:szCs w:val="14"/>
          <w:u w:val="single" w:color="auto"/>
          <w:color w:val="0000EE"/>
        </w:rPr>
        <w:t xml:space="preserve"> </w:t>
      </w:r>
      <w:hyperlink r:id="rId175">
        <w:r>
          <w:rPr>
            <w:rFonts w:ascii="Times New Roman" w:cs="Times New Roman" w:eastAsia="Times New Roman" w:hAnsi="Times New Roman"/>
            <w:sz w:val="14"/>
            <w:szCs w:val="14"/>
            <w:u w:val="single" w:color="auto"/>
            <w:color w:val="0000EE"/>
          </w:rPr>
          <w:t>Exhibit 10.13 to the Registrant’s Registration Statement on Form S-1 filed on October 28, 2025 (File No. 333-291112))†</w:t>
        </w:r>
      </w:hyperlink>
    </w:p>
    <w:p>
      <w:pPr>
        <w:spacing w:after="0" w:line="42" w:lineRule="exact"/>
        <w:rPr>
          <w:rFonts w:ascii="Times New Roman" w:cs="Times New Roman" w:eastAsia="Times New Roman" w:hAnsi="Times New Roman"/>
          <w:sz w:val="14"/>
          <w:szCs w:val="14"/>
          <w:u w:val="single" w:color="auto"/>
          <w:color w:val="0000EE"/>
        </w:rPr>
      </w:pPr>
    </w:p>
    <w:p>
      <w:pPr>
        <w:ind w:left="2180" w:right="399" w:hanging="778"/>
        <w:spacing w:after="0" w:line="292" w:lineRule="auto"/>
        <w:tabs>
          <w:tab w:leader="none" w:pos="1480" w:val="left"/>
        </w:tabs>
        <w:numPr>
          <w:ilvl w:val="0"/>
          <w:numId w:val="60"/>
        </w:numPr>
        <w:rPr>
          <w:rFonts w:ascii="Times New Roman" w:cs="Times New Roman" w:eastAsia="Times New Roman" w:hAnsi="Times New Roman"/>
          <w:sz w:val="13"/>
          <w:szCs w:val="13"/>
          <w:u w:val="single" w:color="auto"/>
          <w:color w:val="0000EE"/>
        </w:rPr>
      </w:pPr>
      <w:r>
        <w:rPr>
          <w:rFonts w:ascii="Times New Roman" w:cs="Times New Roman" w:eastAsia="Times New Roman" w:hAnsi="Times New Roman"/>
          <w:sz w:val="14"/>
          <w:szCs w:val="14"/>
          <w:color w:val="auto"/>
        </w:rPr>
        <w:t>10.14</w:t>
      </w:r>
      <w:hyperlink r:id="rId176">
        <w:r>
          <w:rPr>
            <w:rFonts w:ascii="Times New Roman" w:cs="Times New Roman" w:eastAsia="Times New Roman" w:hAnsi="Times New Roman"/>
            <w:sz w:val="13"/>
            <w:szCs w:val="13"/>
            <w:u w:val="single" w:color="auto"/>
            <w:color w:val="0000EE"/>
          </w:rPr>
          <w:t>Transition and Release Agreement by and among James M. Pigott, Medline Industries, LP, Medline Management Aggregator LLC (f/k/a</w:t>
        </w:r>
      </w:hyperlink>
      <w:r>
        <w:rPr>
          <w:rFonts w:ascii="Times New Roman" w:cs="Times New Roman" w:eastAsia="Times New Roman" w:hAnsi="Times New Roman"/>
          <w:sz w:val="13"/>
          <w:szCs w:val="13"/>
          <w:u w:val="single" w:color="auto"/>
          <w:color w:val="0000EE"/>
        </w:rPr>
        <w:t xml:space="preserve"> </w:t>
      </w:r>
      <w:hyperlink r:id="rId176">
        <w:r>
          <w:rPr>
            <w:rFonts w:ascii="Times New Roman" w:cs="Times New Roman" w:eastAsia="Times New Roman" w:hAnsi="Times New Roman"/>
            <w:sz w:val="13"/>
            <w:szCs w:val="13"/>
            <w:u w:val="single" w:color="auto"/>
            <w:color w:val="0000EE"/>
          </w:rPr>
          <w:t>Mozart Management Aggregator LLC) and Medline Holdings, LP (f/k/a Mozart Holdings, LP), dated October 14, 2024 (incorporated by</w:t>
        </w:r>
      </w:hyperlink>
      <w:r>
        <w:rPr>
          <w:rFonts w:ascii="Times New Roman" w:cs="Times New Roman" w:eastAsia="Times New Roman" w:hAnsi="Times New Roman"/>
          <w:sz w:val="13"/>
          <w:szCs w:val="13"/>
          <w:u w:val="single" w:color="auto"/>
          <w:color w:val="0000EE"/>
        </w:rPr>
        <w:t xml:space="preserve"> </w:t>
      </w:r>
      <w:hyperlink r:id="rId176">
        <w:r>
          <w:rPr>
            <w:rFonts w:ascii="Times New Roman" w:cs="Times New Roman" w:eastAsia="Times New Roman" w:hAnsi="Times New Roman"/>
            <w:sz w:val="13"/>
            <w:szCs w:val="13"/>
            <w:u w:val="single" w:color="auto"/>
            <w:color w:val="0000EE"/>
          </w:rPr>
          <w:t>reference to Exhibit 10.14 to the Registrant’s Registration Statement on Form S-1 filed on October 28, 2025 (File No. 333-291112))†</w:t>
        </w:r>
      </w:hyperlink>
    </w:p>
    <w:p>
      <w:pPr>
        <w:spacing w:after="0" w:line="36" w:lineRule="exact"/>
        <w:rPr>
          <w:rFonts w:ascii="Times New Roman" w:cs="Times New Roman" w:eastAsia="Times New Roman" w:hAnsi="Times New Roman"/>
          <w:sz w:val="13"/>
          <w:szCs w:val="13"/>
          <w:u w:val="single" w:color="auto"/>
          <w:color w:val="0000EE"/>
        </w:rPr>
      </w:pPr>
    </w:p>
    <w:p>
      <w:pPr>
        <w:ind w:left="2180" w:right="279" w:hanging="778"/>
        <w:spacing w:after="0" w:line="258" w:lineRule="auto"/>
        <w:tabs>
          <w:tab w:leader="none" w:pos="1480" w:val="left"/>
        </w:tabs>
        <w:numPr>
          <w:ilvl w:val="0"/>
          <w:numId w:val="60"/>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10.15</w:t>
      </w:r>
      <w:hyperlink r:id="rId177">
        <w:r>
          <w:rPr>
            <w:rFonts w:ascii="Times New Roman" w:cs="Times New Roman" w:eastAsia="Times New Roman" w:hAnsi="Times New Roman"/>
            <w:sz w:val="14"/>
            <w:szCs w:val="14"/>
            <w:u w:val="single" w:color="auto"/>
            <w:color w:val="0000EE"/>
          </w:rPr>
          <w:t>Credit Agreement, dated as of October 21, 2021, among Medline Borrower, LP, as successor in interest to Mozart Debt Merger Sub Inc.,</w:t>
        </w:r>
      </w:hyperlink>
      <w:r>
        <w:rPr>
          <w:rFonts w:ascii="Times New Roman" w:cs="Times New Roman" w:eastAsia="Times New Roman" w:hAnsi="Times New Roman"/>
          <w:sz w:val="14"/>
          <w:szCs w:val="14"/>
          <w:u w:val="single" w:color="auto"/>
          <w:color w:val="0000EE"/>
        </w:rPr>
        <w:t xml:space="preserve"> </w:t>
      </w:r>
      <w:hyperlink r:id="rId177">
        <w:r>
          <w:rPr>
            <w:rFonts w:ascii="Times New Roman" w:cs="Times New Roman" w:eastAsia="Times New Roman" w:hAnsi="Times New Roman"/>
            <w:sz w:val="14"/>
            <w:szCs w:val="14"/>
            <w:u w:val="single" w:color="auto"/>
            <w:color w:val="0000EE"/>
          </w:rPr>
          <w:t>Medline Intermediate, LP, the guarantors from time to time party thereto, the lending institutions from time to time party thereto, and Bank</w:t>
        </w:r>
      </w:hyperlink>
      <w:r>
        <w:rPr>
          <w:rFonts w:ascii="Times New Roman" w:cs="Times New Roman" w:eastAsia="Times New Roman" w:hAnsi="Times New Roman"/>
          <w:sz w:val="14"/>
          <w:szCs w:val="14"/>
          <w:u w:val="single" w:color="auto"/>
          <w:color w:val="0000EE"/>
        </w:rPr>
        <w:t xml:space="preserve"> </w:t>
      </w:r>
      <w:hyperlink r:id="rId177">
        <w:r>
          <w:rPr>
            <w:rFonts w:ascii="Times New Roman" w:cs="Times New Roman" w:eastAsia="Times New Roman" w:hAnsi="Times New Roman"/>
            <w:sz w:val="14"/>
            <w:szCs w:val="14"/>
            <w:u w:val="single" w:color="auto"/>
            <w:color w:val="0000EE"/>
          </w:rPr>
          <w:t>of America, N.A., as administrative agent and collateral agent (incorporated by reference to Exhibit 10.15 to the Registrant’s Registration</w:t>
        </w:r>
      </w:hyperlink>
      <w:r>
        <w:rPr>
          <w:rFonts w:ascii="Times New Roman" w:cs="Times New Roman" w:eastAsia="Times New Roman" w:hAnsi="Times New Roman"/>
          <w:sz w:val="14"/>
          <w:szCs w:val="14"/>
          <w:u w:val="single" w:color="auto"/>
          <w:color w:val="0000EE"/>
        </w:rPr>
        <w:t xml:space="preserve"> </w:t>
      </w:r>
      <w:hyperlink r:id="rId177">
        <w:r>
          <w:rPr>
            <w:rFonts w:ascii="Times New Roman" w:cs="Times New Roman" w:eastAsia="Times New Roman" w:hAnsi="Times New Roman"/>
            <w:sz w:val="14"/>
            <w:szCs w:val="14"/>
            <w:u w:val="single" w:color="auto"/>
            <w:color w:val="0000EE"/>
          </w:rPr>
          <w:t>Statement on Form S-1 filed on October 28, 2025 (File No. 333-291112))</w:t>
        </w:r>
      </w:hyperlink>
    </w:p>
    <w:p>
      <w:pPr>
        <w:spacing w:after="0" w:line="56" w:lineRule="exact"/>
        <w:rPr>
          <w:rFonts w:ascii="Times New Roman" w:cs="Times New Roman" w:eastAsia="Times New Roman" w:hAnsi="Times New Roman"/>
          <w:sz w:val="14"/>
          <w:szCs w:val="14"/>
          <w:u w:val="single" w:color="auto"/>
          <w:color w:val="0000EE"/>
        </w:rPr>
      </w:pPr>
    </w:p>
    <w:p>
      <w:pPr>
        <w:ind w:left="2180" w:right="339" w:hanging="778"/>
        <w:spacing w:after="0" w:line="258" w:lineRule="auto"/>
        <w:tabs>
          <w:tab w:leader="none" w:pos="1480" w:val="left"/>
        </w:tabs>
        <w:numPr>
          <w:ilvl w:val="0"/>
          <w:numId w:val="60"/>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10.16</w:t>
      </w:r>
      <w:hyperlink r:id="rId178">
        <w:r>
          <w:rPr>
            <w:rFonts w:ascii="Times New Roman" w:cs="Times New Roman" w:eastAsia="Times New Roman" w:hAnsi="Times New Roman"/>
            <w:sz w:val="14"/>
            <w:szCs w:val="14"/>
            <w:u w:val="single" w:color="auto"/>
            <w:color w:val="0000EE"/>
          </w:rPr>
          <w:t>Amendment No. 1 to the Credit Agreement, dated as of June 28, 2023, among Medline Borrower, LP, as successor in interest to Mozart</w:t>
        </w:r>
      </w:hyperlink>
      <w:r>
        <w:rPr>
          <w:rFonts w:ascii="Times New Roman" w:cs="Times New Roman" w:eastAsia="Times New Roman" w:hAnsi="Times New Roman"/>
          <w:sz w:val="14"/>
          <w:szCs w:val="14"/>
          <w:u w:val="single" w:color="auto"/>
          <w:color w:val="0000EE"/>
        </w:rPr>
        <w:t xml:space="preserve"> </w:t>
      </w:r>
      <w:hyperlink r:id="rId178">
        <w:r>
          <w:rPr>
            <w:rFonts w:ascii="Times New Roman" w:cs="Times New Roman" w:eastAsia="Times New Roman" w:hAnsi="Times New Roman"/>
            <w:sz w:val="14"/>
            <w:szCs w:val="14"/>
            <w:u w:val="single" w:color="auto"/>
            <w:color w:val="0000EE"/>
          </w:rPr>
          <w:t>Debt Merger Sub Inc., Medline Intermediate, LP, the guarantors from time to time party thereto, the lending institutions from time to time</w:t>
        </w:r>
      </w:hyperlink>
      <w:r>
        <w:rPr>
          <w:rFonts w:ascii="Times New Roman" w:cs="Times New Roman" w:eastAsia="Times New Roman" w:hAnsi="Times New Roman"/>
          <w:sz w:val="14"/>
          <w:szCs w:val="14"/>
          <w:u w:val="single" w:color="auto"/>
          <w:color w:val="0000EE"/>
        </w:rPr>
        <w:t xml:space="preserve"> </w:t>
      </w:r>
      <w:hyperlink r:id="rId178">
        <w:r>
          <w:rPr>
            <w:rFonts w:ascii="Times New Roman" w:cs="Times New Roman" w:eastAsia="Times New Roman" w:hAnsi="Times New Roman"/>
            <w:sz w:val="14"/>
            <w:szCs w:val="14"/>
            <w:u w:val="single" w:color="auto"/>
            <w:color w:val="0000EE"/>
          </w:rPr>
          <w:t>party thereto, and Bank of America, N.A., as administrative agent and collateral agent (incorporated by reference to Exhibit 10.16 to the</w:t>
        </w:r>
      </w:hyperlink>
      <w:r>
        <w:rPr>
          <w:rFonts w:ascii="Times New Roman" w:cs="Times New Roman" w:eastAsia="Times New Roman" w:hAnsi="Times New Roman"/>
          <w:sz w:val="14"/>
          <w:szCs w:val="14"/>
          <w:u w:val="single" w:color="auto"/>
          <w:color w:val="0000EE"/>
        </w:rPr>
        <w:t xml:space="preserve"> </w:t>
      </w:r>
      <w:hyperlink r:id="rId178">
        <w:r>
          <w:rPr>
            <w:rFonts w:ascii="Times New Roman" w:cs="Times New Roman" w:eastAsia="Times New Roman" w:hAnsi="Times New Roman"/>
            <w:sz w:val="14"/>
            <w:szCs w:val="14"/>
            <w:u w:val="single" w:color="auto"/>
            <w:color w:val="0000EE"/>
          </w:rPr>
          <w:t>Registrant’s Registration Statement on Form S-1 filed on October 28, 2025 (File No. 333-291112))</w:t>
        </w:r>
      </w:hyperlink>
    </w:p>
    <w:p>
      <w:pPr>
        <w:spacing w:after="0" w:line="56" w:lineRule="exact"/>
        <w:rPr>
          <w:rFonts w:ascii="Times New Roman" w:cs="Times New Roman" w:eastAsia="Times New Roman" w:hAnsi="Times New Roman"/>
          <w:sz w:val="14"/>
          <w:szCs w:val="14"/>
          <w:u w:val="single" w:color="auto"/>
          <w:color w:val="0000EE"/>
        </w:rPr>
      </w:pPr>
    </w:p>
    <w:p>
      <w:pPr>
        <w:ind w:left="2180" w:right="339" w:hanging="778"/>
        <w:spacing w:after="0" w:line="258" w:lineRule="auto"/>
        <w:tabs>
          <w:tab w:leader="none" w:pos="1480" w:val="left"/>
        </w:tabs>
        <w:numPr>
          <w:ilvl w:val="0"/>
          <w:numId w:val="60"/>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10.17</w:t>
      </w:r>
      <w:hyperlink r:id="rId179">
        <w:r>
          <w:rPr>
            <w:rFonts w:ascii="Times New Roman" w:cs="Times New Roman" w:eastAsia="Times New Roman" w:hAnsi="Times New Roman"/>
            <w:sz w:val="14"/>
            <w:szCs w:val="14"/>
            <w:u w:val="single" w:color="auto"/>
            <w:color w:val="0000EE"/>
          </w:rPr>
          <w:t>Amendment No. 2 to the Credit Agreement, dated as of March 27, 2024, among Medline Borrower, LP, as successor in interest to Mozart</w:t>
        </w:r>
      </w:hyperlink>
      <w:r>
        <w:rPr>
          <w:rFonts w:ascii="Times New Roman" w:cs="Times New Roman" w:eastAsia="Times New Roman" w:hAnsi="Times New Roman"/>
          <w:sz w:val="14"/>
          <w:szCs w:val="14"/>
          <w:u w:val="single" w:color="auto"/>
          <w:color w:val="0000EE"/>
        </w:rPr>
        <w:t xml:space="preserve"> </w:t>
      </w:r>
      <w:hyperlink r:id="rId179">
        <w:r>
          <w:rPr>
            <w:rFonts w:ascii="Times New Roman" w:cs="Times New Roman" w:eastAsia="Times New Roman" w:hAnsi="Times New Roman"/>
            <w:sz w:val="14"/>
            <w:szCs w:val="14"/>
            <w:u w:val="single" w:color="auto"/>
            <w:color w:val="0000EE"/>
          </w:rPr>
          <w:t>Debt Merger Sub Inc., Medline Intermediate, LP, the guarantors from time to time party thereto, the lending institutions from time to time</w:t>
        </w:r>
      </w:hyperlink>
      <w:r>
        <w:rPr>
          <w:rFonts w:ascii="Times New Roman" w:cs="Times New Roman" w:eastAsia="Times New Roman" w:hAnsi="Times New Roman"/>
          <w:sz w:val="14"/>
          <w:szCs w:val="14"/>
          <w:u w:val="single" w:color="auto"/>
          <w:color w:val="0000EE"/>
        </w:rPr>
        <w:t xml:space="preserve"> </w:t>
      </w:r>
      <w:hyperlink r:id="rId179">
        <w:r>
          <w:rPr>
            <w:rFonts w:ascii="Times New Roman" w:cs="Times New Roman" w:eastAsia="Times New Roman" w:hAnsi="Times New Roman"/>
            <w:sz w:val="14"/>
            <w:szCs w:val="14"/>
            <w:u w:val="single" w:color="auto"/>
            <w:color w:val="0000EE"/>
          </w:rPr>
          <w:t>party thereto, and Bank of America, N.A., as administrative agent and collateral agent (incorporated by reference to Exhibit 10.17 to the</w:t>
        </w:r>
      </w:hyperlink>
      <w:r>
        <w:rPr>
          <w:rFonts w:ascii="Times New Roman" w:cs="Times New Roman" w:eastAsia="Times New Roman" w:hAnsi="Times New Roman"/>
          <w:sz w:val="14"/>
          <w:szCs w:val="14"/>
          <w:u w:val="single" w:color="auto"/>
          <w:color w:val="0000EE"/>
        </w:rPr>
        <w:t xml:space="preserve"> </w:t>
      </w:r>
      <w:hyperlink r:id="rId179">
        <w:r>
          <w:rPr>
            <w:rFonts w:ascii="Times New Roman" w:cs="Times New Roman" w:eastAsia="Times New Roman" w:hAnsi="Times New Roman"/>
            <w:sz w:val="14"/>
            <w:szCs w:val="14"/>
            <w:u w:val="single" w:color="auto"/>
            <w:color w:val="0000EE"/>
          </w:rPr>
          <w:t>Registrant’s Registration Statement on Form S-1 filed on October 28, 2025 (File No. 333-291112))</w:t>
        </w:r>
      </w:hyperlink>
    </w:p>
    <w:p>
      <w:pPr>
        <w:spacing w:after="0" w:line="56" w:lineRule="exact"/>
        <w:rPr>
          <w:rFonts w:ascii="Times New Roman" w:cs="Times New Roman" w:eastAsia="Times New Roman" w:hAnsi="Times New Roman"/>
          <w:sz w:val="14"/>
          <w:szCs w:val="14"/>
          <w:u w:val="single" w:color="auto"/>
          <w:color w:val="0000EE"/>
        </w:rPr>
      </w:pPr>
    </w:p>
    <w:p>
      <w:pPr>
        <w:ind w:left="2180" w:right="339" w:hanging="778"/>
        <w:spacing w:after="0" w:line="258" w:lineRule="auto"/>
        <w:tabs>
          <w:tab w:leader="none" w:pos="1480" w:val="left"/>
        </w:tabs>
        <w:numPr>
          <w:ilvl w:val="0"/>
          <w:numId w:val="60"/>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10.18</w:t>
      </w:r>
      <w:hyperlink r:id="rId180">
        <w:r>
          <w:rPr>
            <w:rFonts w:ascii="Times New Roman" w:cs="Times New Roman" w:eastAsia="Times New Roman" w:hAnsi="Times New Roman"/>
            <w:sz w:val="14"/>
            <w:szCs w:val="14"/>
            <w:u w:val="single" w:color="auto"/>
            <w:color w:val="0000EE"/>
          </w:rPr>
          <w:t>Amendment No. 3 to the Credit Agreement, dated as of July 8, 2024, among Medline Borrower, LP, as successor in interest to Mozart</w:t>
        </w:r>
      </w:hyperlink>
      <w:r>
        <w:rPr>
          <w:rFonts w:ascii="Times New Roman" w:cs="Times New Roman" w:eastAsia="Times New Roman" w:hAnsi="Times New Roman"/>
          <w:sz w:val="14"/>
          <w:szCs w:val="14"/>
          <w:u w:val="single" w:color="auto"/>
          <w:color w:val="0000EE"/>
        </w:rPr>
        <w:t xml:space="preserve"> </w:t>
      </w:r>
      <w:hyperlink r:id="rId180">
        <w:r>
          <w:rPr>
            <w:rFonts w:ascii="Times New Roman" w:cs="Times New Roman" w:eastAsia="Times New Roman" w:hAnsi="Times New Roman"/>
            <w:sz w:val="14"/>
            <w:szCs w:val="14"/>
            <w:u w:val="single" w:color="auto"/>
            <w:color w:val="0000EE"/>
          </w:rPr>
          <w:t>Debt Merger Sub Inc., Medline Intermediate, LP, the guarantors from time to time party thereto, the lending institutions from time to time</w:t>
        </w:r>
      </w:hyperlink>
      <w:r>
        <w:rPr>
          <w:rFonts w:ascii="Times New Roman" w:cs="Times New Roman" w:eastAsia="Times New Roman" w:hAnsi="Times New Roman"/>
          <w:sz w:val="14"/>
          <w:szCs w:val="14"/>
          <w:u w:val="single" w:color="auto"/>
          <w:color w:val="0000EE"/>
        </w:rPr>
        <w:t xml:space="preserve"> </w:t>
      </w:r>
      <w:hyperlink r:id="rId180">
        <w:r>
          <w:rPr>
            <w:rFonts w:ascii="Times New Roman" w:cs="Times New Roman" w:eastAsia="Times New Roman" w:hAnsi="Times New Roman"/>
            <w:sz w:val="14"/>
            <w:szCs w:val="14"/>
            <w:u w:val="single" w:color="auto"/>
            <w:color w:val="0000EE"/>
          </w:rPr>
          <w:t>party thereto, and Bank of America, N.A., as administrative agent and collateral agent (incorporated by reference to Exhibit 10.18 to the</w:t>
        </w:r>
      </w:hyperlink>
      <w:r>
        <w:rPr>
          <w:rFonts w:ascii="Times New Roman" w:cs="Times New Roman" w:eastAsia="Times New Roman" w:hAnsi="Times New Roman"/>
          <w:sz w:val="14"/>
          <w:szCs w:val="14"/>
          <w:u w:val="single" w:color="auto"/>
          <w:color w:val="0000EE"/>
        </w:rPr>
        <w:t xml:space="preserve"> </w:t>
      </w:r>
      <w:hyperlink r:id="rId180">
        <w:r>
          <w:rPr>
            <w:rFonts w:ascii="Times New Roman" w:cs="Times New Roman" w:eastAsia="Times New Roman" w:hAnsi="Times New Roman"/>
            <w:sz w:val="14"/>
            <w:szCs w:val="14"/>
            <w:u w:val="single" w:color="auto"/>
            <w:color w:val="0000EE"/>
          </w:rPr>
          <w:t>Registrant’s Registration Statement on Form S-1 filed on October 28, 2025 (File No. 333-291112))</w:t>
        </w:r>
      </w:hyperlink>
    </w:p>
    <w:p>
      <w:pPr>
        <w:spacing w:after="0" w:line="88" w:lineRule="exact"/>
        <w:rPr>
          <w:rFonts w:ascii="Times New Roman" w:cs="Times New Roman" w:eastAsia="Times New Roman" w:hAnsi="Times New Roman"/>
          <w:sz w:val="14"/>
          <w:szCs w:val="14"/>
          <w:u w:val="single" w:color="auto"/>
          <w:color w:val="0000EE"/>
        </w:rPr>
      </w:pPr>
    </w:p>
    <w:p>
      <w:pPr>
        <w:ind w:left="5540"/>
        <w:spacing w:after="0"/>
        <w:rPr>
          <w:sz w:val="20"/>
          <w:szCs w:val="20"/>
          <w:color w:val="auto"/>
        </w:rPr>
      </w:pPr>
      <w:r>
        <w:rPr>
          <w:rFonts w:ascii="Times New Roman" w:cs="Times New Roman" w:eastAsia="Times New Roman" w:hAnsi="Times New Roman"/>
          <w:sz w:val="14"/>
          <w:szCs w:val="14"/>
          <w:color w:val="auto"/>
        </w:rPr>
        <w:t>II-7</w:t>
      </w:r>
    </w:p>
    <w:p>
      <w:pPr>
        <w:sectPr>
          <w:pgSz w:w="11900" w:h="16838" w:orient="portrait"/>
          <w:cols w:equalWidth="0" w:num="1">
            <w:col w:w="10159"/>
          </w:cols>
          <w:pgMar w:left="300" w:top="383" w:right="1440"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30" w:lineRule="exact"/>
        <w:rPr>
          <w:sz w:val="20"/>
          <w:szCs w:val="20"/>
          <w:color w:val="auto"/>
        </w:rPr>
      </w:pPr>
    </w:p>
    <w:tbl>
      <w:tblPr>
        <w:tblLayout w:type="fixed"/>
        <w:tblInd w:w="1480" w:type="dxa"/>
        <w:tblCellMar>
          <w:top w:w="0" w:type="dxa"/>
          <w:left w:w="0" w:type="dxa"/>
          <w:bottom w:w="0" w:type="dxa"/>
          <w:right w:w="0" w:type="dxa"/>
        </w:tblCellMar>
      </w:tblPr>
      <w:tr>
        <w:trPr>
          <w:trHeight w:val="126"/>
        </w:trPr>
        <w:tc>
          <w:tcPr>
            <w:tcW w:w="2320" w:type="dxa"/>
            <w:vAlign w:val="bottom"/>
          </w:tcPr>
          <w:p>
            <w:pPr>
              <w:jc w:val="center"/>
              <w:ind w:right="1905"/>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2500" w:type="dxa"/>
            <w:vAlign w:val="bottom"/>
            <w:vMerge w:val="restart"/>
          </w:tcPr>
          <w:p>
            <w:pPr>
              <w:ind w:left="1960"/>
              <w:spacing w:after="0"/>
              <w:rPr>
                <w:sz w:val="20"/>
                <w:szCs w:val="20"/>
                <w:color w:val="auto"/>
              </w:rPr>
            </w:pPr>
            <w:r>
              <w:rPr>
                <w:rFonts w:ascii="Times New Roman" w:cs="Times New Roman" w:eastAsia="Times New Roman" w:hAnsi="Times New Roman"/>
                <w:sz w:val="11"/>
                <w:szCs w:val="11"/>
                <w:b w:val="1"/>
                <w:bCs w:val="1"/>
                <w:color w:val="auto"/>
                <w:w w:val="95"/>
              </w:rPr>
              <w:t>Description</w:t>
            </w:r>
          </w:p>
        </w:tc>
        <w:tc>
          <w:tcPr>
            <w:tcW w:w="0" w:type="dxa"/>
            <w:vAlign w:val="bottom"/>
          </w:tcPr>
          <w:p>
            <w:pPr>
              <w:spacing w:after="0"/>
              <w:rPr>
                <w:sz w:val="1"/>
                <w:szCs w:val="1"/>
                <w:color w:val="auto"/>
              </w:rPr>
            </w:pPr>
          </w:p>
        </w:tc>
      </w:tr>
      <w:tr>
        <w:trPr>
          <w:trHeight w:val="145"/>
        </w:trPr>
        <w:tc>
          <w:tcPr>
            <w:tcW w:w="2320" w:type="dxa"/>
            <w:vAlign w:val="bottom"/>
          </w:tcPr>
          <w:p>
            <w:pPr>
              <w:jc w:val="center"/>
              <w:ind w:right="1905"/>
              <w:spacing w:after="0"/>
              <w:rPr>
                <w:sz w:val="20"/>
                <w:szCs w:val="20"/>
                <w:color w:val="auto"/>
              </w:rPr>
            </w:pPr>
            <w:r>
              <w:rPr>
                <w:rFonts w:ascii="Times New Roman" w:cs="Times New Roman" w:eastAsia="Times New Roman" w:hAnsi="Times New Roman"/>
                <w:sz w:val="11"/>
                <w:szCs w:val="11"/>
                <w:b w:val="1"/>
                <w:bCs w:val="1"/>
                <w:u w:val="single" w:color="auto"/>
                <w:color w:val="auto"/>
                <w:w w:val="98"/>
              </w:rPr>
              <w:t>No.</w:t>
            </w:r>
          </w:p>
        </w:tc>
        <w:tc>
          <w:tcPr>
            <w:tcW w:w="2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1381760</wp:posOffset>
            </wp:positionH>
            <wp:positionV relativeFrom="paragraph">
              <wp:posOffset>0</wp:posOffset>
            </wp:positionV>
            <wp:extent cx="4899025" cy="63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2">
                      <a:extLst>
                        <a:ext uri="{28A0092B-C50C-407E-A947-70E740481C1C}"/>
                      </a:extLst>
                    </a:blip>
                    <a:srcRect/>
                    <a:stretch>
                      <a:fillRect/>
                    </a:stretch>
                  </pic:blipFill>
                  <pic:spPr bwMode="auto">
                    <a:xfrm>
                      <a:off x="0" y="0"/>
                      <a:ext cx="4899025" cy="6350"/>
                    </a:xfrm>
                    <a:prstGeom prst="rect">
                      <a:avLst/>
                    </a:prstGeom>
                    <a:noFill/>
                  </pic:spPr>
                </pic:pic>
              </a:graphicData>
            </a:graphic>
          </wp:anchor>
        </w:drawing>
      </w:r>
    </w:p>
    <w:p>
      <w:pPr>
        <w:spacing w:after="0" w:line="48" w:lineRule="exact"/>
        <w:rPr>
          <w:sz w:val="20"/>
          <w:szCs w:val="20"/>
          <w:color w:val="auto"/>
        </w:rPr>
      </w:pPr>
    </w:p>
    <w:p>
      <w:pPr>
        <w:jc w:val="both"/>
        <w:ind w:left="2180" w:right="339" w:hanging="778"/>
        <w:spacing w:after="0" w:line="258" w:lineRule="auto"/>
        <w:tabs>
          <w:tab w:leader="none" w:pos="1480" w:val="left"/>
        </w:tabs>
        <w:numPr>
          <w:ilvl w:val="0"/>
          <w:numId w:val="61"/>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10.19</w:t>
      </w:r>
      <w:hyperlink r:id="rId183">
        <w:r>
          <w:rPr>
            <w:rFonts w:ascii="Times New Roman" w:cs="Times New Roman" w:eastAsia="Times New Roman" w:hAnsi="Times New Roman"/>
            <w:sz w:val="14"/>
            <w:szCs w:val="14"/>
            <w:u w:val="single" w:color="auto"/>
            <w:color w:val="0000EE"/>
          </w:rPr>
          <w:t>Amendment No. 4 to the Credit Agreement, dated as of November 19, 2024, among Medline Borrower, LP, as successor in interest to</w:t>
        </w:r>
      </w:hyperlink>
      <w:r>
        <w:rPr>
          <w:rFonts w:ascii="Times New Roman" w:cs="Times New Roman" w:eastAsia="Times New Roman" w:hAnsi="Times New Roman"/>
          <w:sz w:val="14"/>
          <w:szCs w:val="14"/>
          <w:u w:val="single" w:color="auto"/>
          <w:color w:val="0000EE"/>
        </w:rPr>
        <w:t xml:space="preserve"> </w:t>
      </w:r>
      <w:hyperlink r:id="rId183">
        <w:r>
          <w:rPr>
            <w:rFonts w:ascii="Times New Roman" w:cs="Times New Roman" w:eastAsia="Times New Roman" w:hAnsi="Times New Roman"/>
            <w:sz w:val="14"/>
            <w:szCs w:val="14"/>
            <w:u w:val="single" w:color="auto"/>
            <w:color w:val="0000EE"/>
          </w:rPr>
          <w:t>Mozart Debt Merger Sub Inc., Medline Intermediate, LP, the guarantors from time to time party thereto, the lending institutions from time</w:t>
        </w:r>
      </w:hyperlink>
      <w:r>
        <w:rPr>
          <w:rFonts w:ascii="Times New Roman" w:cs="Times New Roman" w:eastAsia="Times New Roman" w:hAnsi="Times New Roman"/>
          <w:sz w:val="14"/>
          <w:szCs w:val="14"/>
          <w:u w:val="single" w:color="auto"/>
          <w:color w:val="0000EE"/>
        </w:rPr>
        <w:t xml:space="preserve"> </w:t>
      </w:r>
      <w:hyperlink r:id="rId183">
        <w:r>
          <w:rPr>
            <w:rFonts w:ascii="Times New Roman" w:cs="Times New Roman" w:eastAsia="Times New Roman" w:hAnsi="Times New Roman"/>
            <w:sz w:val="14"/>
            <w:szCs w:val="14"/>
            <w:u w:val="single" w:color="auto"/>
            <w:color w:val="0000EE"/>
          </w:rPr>
          <w:t>to time party thereto, and Bank of America, N.A., as administrative agent and collateral agent (incorporated by reference to Exhibit 10.19</w:t>
        </w:r>
      </w:hyperlink>
      <w:r>
        <w:rPr>
          <w:rFonts w:ascii="Times New Roman" w:cs="Times New Roman" w:eastAsia="Times New Roman" w:hAnsi="Times New Roman"/>
          <w:sz w:val="14"/>
          <w:szCs w:val="14"/>
          <w:u w:val="single" w:color="auto"/>
          <w:color w:val="0000EE"/>
        </w:rPr>
        <w:t xml:space="preserve"> </w:t>
      </w:r>
      <w:hyperlink r:id="rId183">
        <w:r>
          <w:rPr>
            <w:rFonts w:ascii="Times New Roman" w:cs="Times New Roman" w:eastAsia="Times New Roman" w:hAnsi="Times New Roman"/>
            <w:sz w:val="14"/>
            <w:szCs w:val="14"/>
            <w:u w:val="single" w:color="auto"/>
            <w:color w:val="0000EE"/>
          </w:rPr>
          <w:t>to the Registrant’s Registration Statement on Form S-1 filed on October 28, 2025 (File No. 333-291112))</w:t>
        </w:r>
      </w:hyperlink>
    </w:p>
    <w:p>
      <w:pPr>
        <w:spacing w:after="0" w:line="56" w:lineRule="exact"/>
        <w:rPr>
          <w:rFonts w:ascii="Times New Roman" w:cs="Times New Roman" w:eastAsia="Times New Roman" w:hAnsi="Times New Roman"/>
          <w:sz w:val="14"/>
          <w:szCs w:val="14"/>
          <w:u w:val="single" w:color="auto"/>
          <w:color w:val="0000EE"/>
        </w:rPr>
      </w:pPr>
    </w:p>
    <w:p>
      <w:pPr>
        <w:ind w:left="2180" w:right="659" w:hanging="778"/>
        <w:spacing w:after="0" w:line="263" w:lineRule="auto"/>
        <w:tabs>
          <w:tab w:leader="none" w:pos="1480" w:val="left"/>
        </w:tabs>
        <w:numPr>
          <w:ilvl w:val="0"/>
          <w:numId w:val="61"/>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10.20</w:t>
      </w:r>
      <w:hyperlink r:id="rId184">
        <w:r>
          <w:rPr>
            <w:rFonts w:ascii="Times New Roman" w:cs="Times New Roman" w:eastAsia="Times New Roman" w:hAnsi="Times New Roman"/>
            <w:sz w:val="14"/>
            <w:szCs w:val="14"/>
            <w:u w:val="single" w:color="auto"/>
            <w:color w:val="0000EE"/>
          </w:rPr>
          <w:t>Security Agreement, dated as of October 21, 2021, among the grantors party thereto and Bank of America, N.A., as collateral agent</w:t>
        </w:r>
      </w:hyperlink>
      <w:r>
        <w:rPr>
          <w:rFonts w:ascii="Times New Roman" w:cs="Times New Roman" w:eastAsia="Times New Roman" w:hAnsi="Times New Roman"/>
          <w:sz w:val="14"/>
          <w:szCs w:val="14"/>
          <w:u w:val="single" w:color="auto"/>
          <w:color w:val="0000EE"/>
        </w:rPr>
        <w:t xml:space="preserve"> </w:t>
      </w:r>
      <w:hyperlink r:id="rId184">
        <w:r>
          <w:rPr>
            <w:rFonts w:ascii="Times New Roman" w:cs="Times New Roman" w:eastAsia="Times New Roman" w:hAnsi="Times New Roman"/>
            <w:sz w:val="14"/>
            <w:szCs w:val="14"/>
            <w:u w:val="single" w:color="auto"/>
            <w:color w:val="0000EE"/>
          </w:rPr>
          <w:t>(incorporated by reference to Exhibit 10.20 to the Registrant’s Registration Statement on Form S-1 filed on October 28, 2025 (File</w:t>
        </w:r>
      </w:hyperlink>
      <w:r>
        <w:rPr>
          <w:rFonts w:ascii="Times New Roman" w:cs="Times New Roman" w:eastAsia="Times New Roman" w:hAnsi="Times New Roman"/>
          <w:sz w:val="14"/>
          <w:szCs w:val="14"/>
          <w:u w:val="single" w:color="auto"/>
          <w:color w:val="0000EE"/>
        </w:rPr>
        <w:t xml:space="preserve"> </w:t>
      </w:r>
      <w:hyperlink r:id="rId184">
        <w:r>
          <w:rPr>
            <w:rFonts w:ascii="Times New Roman" w:cs="Times New Roman" w:eastAsia="Times New Roman" w:hAnsi="Times New Roman"/>
            <w:sz w:val="14"/>
            <w:szCs w:val="14"/>
            <w:u w:val="single" w:color="auto"/>
            <w:color w:val="0000EE"/>
          </w:rPr>
          <w:t>No. 333-291112))</w:t>
        </w:r>
      </w:hyperlink>
    </w:p>
    <w:p>
      <w:pPr>
        <w:spacing w:after="0" w:line="53" w:lineRule="exact"/>
        <w:rPr>
          <w:rFonts w:ascii="Times New Roman" w:cs="Times New Roman" w:eastAsia="Times New Roman" w:hAnsi="Times New Roman"/>
          <w:sz w:val="14"/>
          <w:szCs w:val="14"/>
          <w:u w:val="single" w:color="auto"/>
          <w:color w:val="0000EE"/>
        </w:rPr>
      </w:pPr>
    </w:p>
    <w:p>
      <w:pPr>
        <w:ind w:left="2180" w:right="419" w:hanging="778"/>
        <w:spacing w:after="0" w:line="263" w:lineRule="auto"/>
        <w:tabs>
          <w:tab w:leader="none" w:pos="1480" w:val="left"/>
        </w:tabs>
        <w:numPr>
          <w:ilvl w:val="0"/>
          <w:numId w:val="61"/>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10.21</w:t>
      </w:r>
      <w:hyperlink r:id="rId185">
        <w:r>
          <w:rPr>
            <w:rFonts w:ascii="Times New Roman" w:cs="Times New Roman" w:eastAsia="Times New Roman" w:hAnsi="Times New Roman"/>
            <w:sz w:val="14"/>
            <w:szCs w:val="14"/>
            <w:u w:val="single" w:color="auto"/>
            <w:color w:val="0000EE"/>
          </w:rPr>
          <w:t>Supplement No. 1, dated as of July 19, 2024, to the Security Agreement, dated as of October 21, 2021, among the grantors party thereto</w:t>
        </w:r>
      </w:hyperlink>
      <w:r>
        <w:rPr>
          <w:rFonts w:ascii="Times New Roman" w:cs="Times New Roman" w:eastAsia="Times New Roman" w:hAnsi="Times New Roman"/>
          <w:sz w:val="14"/>
          <w:szCs w:val="14"/>
          <w:u w:val="single" w:color="auto"/>
          <w:color w:val="0000EE"/>
        </w:rPr>
        <w:t xml:space="preserve"> </w:t>
      </w:r>
      <w:hyperlink r:id="rId185">
        <w:r>
          <w:rPr>
            <w:rFonts w:ascii="Times New Roman" w:cs="Times New Roman" w:eastAsia="Times New Roman" w:hAnsi="Times New Roman"/>
            <w:sz w:val="14"/>
            <w:szCs w:val="14"/>
            <w:u w:val="single" w:color="auto"/>
            <w:color w:val="0000EE"/>
          </w:rPr>
          <w:t>and Bank of America, N.A., as collateral agent (incorporated by reference to Exhibit 10.21 to the Registrant’s Registration Statement on</w:t>
        </w:r>
      </w:hyperlink>
      <w:r>
        <w:rPr>
          <w:rFonts w:ascii="Times New Roman" w:cs="Times New Roman" w:eastAsia="Times New Roman" w:hAnsi="Times New Roman"/>
          <w:sz w:val="14"/>
          <w:szCs w:val="14"/>
          <w:u w:val="single" w:color="auto"/>
          <w:color w:val="0000EE"/>
        </w:rPr>
        <w:t xml:space="preserve"> </w:t>
      </w:r>
      <w:hyperlink r:id="rId185">
        <w:r>
          <w:rPr>
            <w:rFonts w:ascii="Times New Roman" w:cs="Times New Roman" w:eastAsia="Times New Roman" w:hAnsi="Times New Roman"/>
            <w:sz w:val="14"/>
            <w:szCs w:val="14"/>
            <w:u w:val="single" w:color="auto"/>
            <w:color w:val="0000EE"/>
          </w:rPr>
          <w:t>Form S-1 filed on October 28, 2025 (File No. 333-291112))</w:t>
        </w:r>
      </w:hyperlink>
    </w:p>
    <w:p>
      <w:pPr>
        <w:spacing w:after="0" w:line="53" w:lineRule="exact"/>
        <w:rPr>
          <w:rFonts w:ascii="Times New Roman" w:cs="Times New Roman" w:eastAsia="Times New Roman" w:hAnsi="Times New Roman"/>
          <w:sz w:val="14"/>
          <w:szCs w:val="14"/>
          <w:u w:val="single" w:color="auto"/>
          <w:color w:val="0000EE"/>
        </w:rPr>
      </w:pPr>
    </w:p>
    <w:p>
      <w:pPr>
        <w:ind w:left="2180" w:right="519" w:hanging="778"/>
        <w:spacing w:after="0" w:line="263" w:lineRule="auto"/>
        <w:tabs>
          <w:tab w:leader="none" w:pos="1480" w:val="left"/>
        </w:tabs>
        <w:numPr>
          <w:ilvl w:val="0"/>
          <w:numId w:val="61"/>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10.22</w:t>
      </w:r>
      <w:hyperlink r:id="rId186">
        <w:r>
          <w:rPr>
            <w:rFonts w:ascii="Times New Roman" w:cs="Times New Roman" w:eastAsia="Times New Roman" w:hAnsi="Times New Roman"/>
            <w:sz w:val="14"/>
            <w:szCs w:val="14"/>
            <w:u w:val="single" w:color="auto"/>
            <w:color w:val="0000EE"/>
          </w:rPr>
          <w:t>Supplement No. 2 to the Security Agreement, dated as of December 20, 2024, among the grantors party thereto and Bank of America,</w:t>
        </w:r>
      </w:hyperlink>
      <w:r>
        <w:rPr>
          <w:rFonts w:ascii="Times New Roman" w:cs="Times New Roman" w:eastAsia="Times New Roman" w:hAnsi="Times New Roman"/>
          <w:sz w:val="14"/>
          <w:szCs w:val="14"/>
          <w:u w:val="single" w:color="auto"/>
          <w:color w:val="0000EE"/>
        </w:rPr>
        <w:t xml:space="preserve"> </w:t>
      </w:r>
      <w:hyperlink r:id="rId186">
        <w:r>
          <w:rPr>
            <w:rFonts w:ascii="Times New Roman" w:cs="Times New Roman" w:eastAsia="Times New Roman" w:hAnsi="Times New Roman"/>
            <w:sz w:val="14"/>
            <w:szCs w:val="14"/>
            <w:u w:val="single" w:color="auto"/>
            <w:color w:val="0000EE"/>
          </w:rPr>
          <w:t>N.A., as collateral agent (incorporated by reference to Exhibit 10.22 to the Registrant’s Registration Statement on Form S-1 filed on</w:t>
        </w:r>
      </w:hyperlink>
      <w:r>
        <w:rPr>
          <w:rFonts w:ascii="Times New Roman" w:cs="Times New Roman" w:eastAsia="Times New Roman" w:hAnsi="Times New Roman"/>
          <w:sz w:val="14"/>
          <w:szCs w:val="14"/>
          <w:u w:val="single" w:color="auto"/>
          <w:color w:val="0000EE"/>
        </w:rPr>
        <w:t xml:space="preserve"> </w:t>
      </w:r>
      <w:hyperlink r:id="rId186">
        <w:r>
          <w:rPr>
            <w:rFonts w:ascii="Times New Roman" w:cs="Times New Roman" w:eastAsia="Times New Roman" w:hAnsi="Times New Roman"/>
            <w:sz w:val="14"/>
            <w:szCs w:val="14"/>
            <w:u w:val="single" w:color="auto"/>
            <w:color w:val="0000EE"/>
          </w:rPr>
          <w:t>October 28, 2025 (File No. 333-291112))</w:t>
        </w:r>
      </w:hyperlink>
    </w:p>
    <w:p>
      <w:pPr>
        <w:spacing w:after="0" w:line="53" w:lineRule="exact"/>
        <w:rPr>
          <w:rFonts w:ascii="Times New Roman" w:cs="Times New Roman" w:eastAsia="Times New Roman" w:hAnsi="Times New Roman"/>
          <w:sz w:val="14"/>
          <w:szCs w:val="14"/>
          <w:u w:val="single" w:color="auto"/>
          <w:color w:val="0000EE"/>
        </w:rPr>
      </w:pPr>
    </w:p>
    <w:p>
      <w:pPr>
        <w:ind w:left="2180" w:right="319" w:hanging="778"/>
        <w:spacing w:after="0" w:line="263" w:lineRule="auto"/>
        <w:tabs>
          <w:tab w:leader="none" w:pos="1480" w:val="left"/>
        </w:tabs>
        <w:numPr>
          <w:ilvl w:val="0"/>
          <w:numId w:val="61"/>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10.23</w:t>
      </w:r>
      <w:hyperlink r:id="rId187">
        <w:r>
          <w:rPr>
            <w:rFonts w:ascii="Times New Roman" w:cs="Times New Roman" w:eastAsia="Times New Roman" w:hAnsi="Times New Roman"/>
            <w:sz w:val="14"/>
            <w:szCs w:val="14"/>
            <w:u w:val="single" w:color="auto"/>
            <w:color w:val="0000EE"/>
          </w:rPr>
          <w:t>Security Agreement, dated as of October 21, 2021, among the grantors party thereto and Wilmington Trust, National Association as notes</w:t>
        </w:r>
      </w:hyperlink>
      <w:r>
        <w:rPr>
          <w:rFonts w:ascii="Times New Roman" w:cs="Times New Roman" w:eastAsia="Times New Roman" w:hAnsi="Times New Roman"/>
          <w:sz w:val="14"/>
          <w:szCs w:val="14"/>
          <w:u w:val="single" w:color="auto"/>
          <w:color w:val="0000EE"/>
        </w:rPr>
        <w:t xml:space="preserve"> </w:t>
      </w:r>
      <w:hyperlink r:id="rId187">
        <w:r>
          <w:rPr>
            <w:rFonts w:ascii="Times New Roman" w:cs="Times New Roman" w:eastAsia="Times New Roman" w:hAnsi="Times New Roman"/>
            <w:sz w:val="14"/>
            <w:szCs w:val="14"/>
            <w:u w:val="single" w:color="auto"/>
            <w:color w:val="0000EE"/>
          </w:rPr>
          <w:t>collateral agent (incorporated by reference to Exhibit 10.23 to the Registrant’s Registration Statement on Form S-1 filed on October 28,</w:t>
        </w:r>
      </w:hyperlink>
      <w:r>
        <w:rPr>
          <w:rFonts w:ascii="Times New Roman" w:cs="Times New Roman" w:eastAsia="Times New Roman" w:hAnsi="Times New Roman"/>
          <w:sz w:val="14"/>
          <w:szCs w:val="14"/>
          <w:u w:val="single" w:color="auto"/>
          <w:color w:val="0000EE"/>
        </w:rPr>
        <w:t xml:space="preserve"> </w:t>
      </w:r>
      <w:hyperlink r:id="rId187">
        <w:r>
          <w:rPr>
            <w:rFonts w:ascii="Times New Roman" w:cs="Times New Roman" w:eastAsia="Times New Roman" w:hAnsi="Times New Roman"/>
            <w:sz w:val="14"/>
            <w:szCs w:val="14"/>
            <w:u w:val="single" w:color="auto"/>
            <w:color w:val="0000EE"/>
          </w:rPr>
          <w:t>2025 (File No. 333-291112))</w:t>
        </w:r>
      </w:hyperlink>
    </w:p>
    <w:p>
      <w:pPr>
        <w:spacing w:after="0" w:line="53" w:lineRule="exact"/>
        <w:rPr>
          <w:rFonts w:ascii="Times New Roman" w:cs="Times New Roman" w:eastAsia="Times New Roman" w:hAnsi="Times New Roman"/>
          <w:sz w:val="14"/>
          <w:szCs w:val="14"/>
          <w:u w:val="single" w:color="auto"/>
          <w:color w:val="0000EE"/>
        </w:rPr>
      </w:pPr>
    </w:p>
    <w:p>
      <w:pPr>
        <w:ind w:left="2180" w:right="319" w:hanging="778"/>
        <w:spacing w:after="0" w:line="263" w:lineRule="auto"/>
        <w:tabs>
          <w:tab w:leader="none" w:pos="1480" w:val="left"/>
        </w:tabs>
        <w:numPr>
          <w:ilvl w:val="0"/>
          <w:numId w:val="61"/>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10.24</w:t>
      </w:r>
      <w:hyperlink r:id="rId188">
        <w:r>
          <w:rPr>
            <w:rFonts w:ascii="Times New Roman" w:cs="Times New Roman" w:eastAsia="Times New Roman" w:hAnsi="Times New Roman"/>
            <w:sz w:val="14"/>
            <w:szCs w:val="14"/>
            <w:u w:val="single" w:color="auto"/>
            <w:color w:val="0000EE"/>
          </w:rPr>
          <w:t>Supplement No. 1 to the Security Agreement, dated as of July 19, 2024, among the grantors party thereto and Wilmington Trust, National</w:t>
        </w:r>
      </w:hyperlink>
      <w:r>
        <w:rPr>
          <w:rFonts w:ascii="Times New Roman" w:cs="Times New Roman" w:eastAsia="Times New Roman" w:hAnsi="Times New Roman"/>
          <w:sz w:val="14"/>
          <w:szCs w:val="14"/>
          <w:u w:val="single" w:color="auto"/>
          <w:color w:val="0000EE"/>
        </w:rPr>
        <w:t xml:space="preserve"> </w:t>
      </w:r>
      <w:hyperlink r:id="rId188">
        <w:r>
          <w:rPr>
            <w:rFonts w:ascii="Times New Roman" w:cs="Times New Roman" w:eastAsia="Times New Roman" w:hAnsi="Times New Roman"/>
            <w:sz w:val="14"/>
            <w:szCs w:val="14"/>
            <w:u w:val="single" w:color="auto"/>
            <w:color w:val="0000EE"/>
          </w:rPr>
          <w:t>Association as notes collateral agent (incorporated by reference to Exhibit 10.24 to the Registrant’s Registration Statement on Form S-1</w:t>
        </w:r>
      </w:hyperlink>
      <w:r>
        <w:rPr>
          <w:rFonts w:ascii="Times New Roman" w:cs="Times New Roman" w:eastAsia="Times New Roman" w:hAnsi="Times New Roman"/>
          <w:sz w:val="14"/>
          <w:szCs w:val="14"/>
          <w:u w:val="single" w:color="auto"/>
          <w:color w:val="0000EE"/>
        </w:rPr>
        <w:t xml:space="preserve"> </w:t>
      </w:r>
      <w:hyperlink r:id="rId188">
        <w:r>
          <w:rPr>
            <w:rFonts w:ascii="Times New Roman" w:cs="Times New Roman" w:eastAsia="Times New Roman" w:hAnsi="Times New Roman"/>
            <w:sz w:val="14"/>
            <w:szCs w:val="14"/>
            <w:u w:val="single" w:color="auto"/>
            <w:color w:val="0000EE"/>
          </w:rPr>
          <w:t>filed on October 28, 2025 (File No. 333-291112))</w:t>
        </w:r>
      </w:hyperlink>
    </w:p>
    <w:p>
      <w:pPr>
        <w:spacing w:after="0" w:line="53" w:lineRule="exact"/>
        <w:rPr>
          <w:rFonts w:ascii="Times New Roman" w:cs="Times New Roman" w:eastAsia="Times New Roman" w:hAnsi="Times New Roman"/>
          <w:sz w:val="14"/>
          <w:szCs w:val="14"/>
          <w:u w:val="single" w:color="auto"/>
          <w:color w:val="0000EE"/>
        </w:rPr>
      </w:pPr>
    </w:p>
    <w:p>
      <w:pPr>
        <w:ind w:left="2180" w:right="499" w:hanging="778"/>
        <w:spacing w:after="0" w:line="263" w:lineRule="auto"/>
        <w:tabs>
          <w:tab w:leader="none" w:pos="1480" w:val="left"/>
        </w:tabs>
        <w:numPr>
          <w:ilvl w:val="0"/>
          <w:numId w:val="61"/>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10.25</w:t>
      </w:r>
      <w:hyperlink r:id="rId189">
        <w:r>
          <w:rPr>
            <w:rFonts w:ascii="Times New Roman" w:cs="Times New Roman" w:eastAsia="Times New Roman" w:hAnsi="Times New Roman"/>
            <w:sz w:val="14"/>
            <w:szCs w:val="14"/>
            <w:u w:val="single" w:color="auto"/>
            <w:color w:val="0000EE"/>
          </w:rPr>
          <w:t>Supplement No. 2 to the Security Agreement, dated as of December 20, 2024, among the grantors party thereto and Wilmington Trust,</w:t>
        </w:r>
      </w:hyperlink>
      <w:r>
        <w:rPr>
          <w:rFonts w:ascii="Times New Roman" w:cs="Times New Roman" w:eastAsia="Times New Roman" w:hAnsi="Times New Roman"/>
          <w:sz w:val="14"/>
          <w:szCs w:val="14"/>
          <w:u w:val="single" w:color="auto"/>
          <w:color w:val="0000EE"/>
        </w:rPr>
        <w:t xml:space="preserve"> </w:t>
      </w:r>
      <w:hyperlink r:id="rId189">
        <w:r>
          <w:rPr>
            <w:rFonts w:ascii="Times New Roman" w:cs="Times New Roman" w:eastAsia="Times New Roman" w:hAnsi="Times New Roman"/>
            <w:sz w:val="14"/>
            <w:szCs w:val="14"/>
            <w:u w:val="single" w:color="auto"/>
            <w:color w:val="0000EE"/>
          </w:rPr>
          <w:t>National Association as notes collateral agent (incorporated by reference to Exhibit 10.25 to the Registrant’s Registration Statement on</w:t>
        </w:r>
      </w:hyperlink>
      <w:r>
        <w:rPr>
          <w:rFonts w:ascii="Times New Roman" w:cs="Times New Roman" w:eastAsia="Times New Roman" w:hAnsi="Times New Roman"/>
          <w:sz w:val="14"/>
          <w:szCs w:val="14"/>
          <w:u w:val="single" w:color="auto"/>
          <w:color w:val="0000EE"/>
        </w:rPr>
        <w:t xml:space="preserve"> </w:t>
      </w:r>
      <w:hyperlink r:id="rId189">
        <w:r>
          <w:rPr>
            <w:rFonts w:ascii="Times New Roman" w:cs="Times New Roman" w:eastAsia="Times New Roman" w:hAnsi="Times New Roman"/>
            <w:sz w:val="14"/>
            <w:szCs w:val="14"/>
            <w:u w:val="single" w:color="auto"/>
            <w:color w:val="0000EE"/>
          </w:rPr>
          <w:t>Form S-1 filed on October 28, 2025 (File No. 333-291112))</w:t>
        </w:r>
      </w:hyperlink>
    </w:p>
    <w:p>
      <w:pPr>
        <w:spacing w:after="0" w:line="53" w:lineRule="exact"/>
        <w:rPr>
          <w:rFonts w:ascii="Times New Roman" w:cs="Times New Roman" w:eastAsia="Times New Roman" w:hAnsi="Times New Roman"/>
          <w:sz w:val="14"/>
          <w:szCs w:val="14"/>
          <w:u w:val="single" w:color="auto"/>
          <w:color w:val="0000EE"/>
        </w:rPr>
      </w:pPr>
    </w:p>
    <w:p>
      <w:pPr>
        <w:ind w:left="2180" w:right="399" w:hanging="778"/>
        <w:spacing w:after="0" w:line="263" w:lineRule="auto"/>
        <w:tabs>
          <w:tab w:leader="none" w:pos="1480" w:val="left"/>
        </w:tabs>
        <w:numPr>
          <w:ilvl w:val="0"/>
          <w:numId w:val="61"/>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10.26</w:t>
      </w:r>
      <w:hyperlink r:id="rId190">
        <w:r>
          <w:rPr>
            <w:rFonts w:ascii="Times New Roman" w:cs="Times New Roman" w:eastAsia="Times New Roman" w:hAnsi="Times New Roman"/>
            <w:sz w:val="14"/>
            <w:szCs w:val="14"/>
            <w:u w:val="single" w:color="auto"/>
            <w:color w:val="0000EE"/>
          </w:rPr>
          <w:t>Security Agreement, dated as of March 27, 2024, among the grantors party thereto and Wilmington Trust, National Association as notes</w:t>
        </w:r>
      </w:hyperlink>
      <w:r>
        <w:rPr>
          <w:rFonts w:ascii="Times New Roman" w:cs="Times New Roman" w:eastAsia="Times New Roman" w:hAnsi="Times New Roman"/>
          <w:sz w:val="14"/>
          <w:szCs w:val="14"/>
          <w:u w:val="single" w:color="auto"/>
          <w:color w:val="0000EE"/>
        </w:rPr>
        <w:t xml:space="preserve"> </w:t>
      </w:r>
      <w:hyperlink r:id="rId190">
        <w:r>
          <w:rPr>
            <w:rFonts w:ascii="Times New Roman" w:cs="Times New Roman" w:eastAsia="Times New Roman" w:hAnsi="Times New Roman"/>
            <w:sz w:val="14"/>
            <w:szCs w:val="14"/>
            <w:u w:val="single" w:color="auto"/>
            <w:color w:val="0000EE"/>
          </w:rPr>
          <w:t>collateral agent (incorporated by reference to Exhibit 10.26 to the Registrant’s Registration Statement on Form S-1 filed on October 28,</w:t>
        </w:r>
      </w:hyperlink>
      <w:r>
        <w:rPr>
          <w:rFonts w:ascii="Times New Roman" w:cs="Times New Roman" w:eastAsia="Times New Roman" w:hAnsi="Times New Roman"/>
          <w:sz w:val="14"/>
          <w:szCs w:val="14"/>
          <w:u w:val="single" w:color="auto"/>
          <w:color w:val="0000EE"/>
        </w:rPr>
        <w:t xml:space="preserve"> </w:t>
      </w:r>
      <w:hyperlink r:id="rId190">
        <w:r>
          <w:rPr>
            <w:rFonts w:ascii="Times New Roman" w:cs="Times New Roman" w:eastAsia="Times New Roman" w:hAnsi="Times New Roman"/>
            <w:sz w:val="14"/>
            <w:szCs w:val="14"/>
            <w:u w:val="single" w:color="auto"/>
            <w:color w:val="0000EE"/>
          </w:rPr>
          <w:t>2025 (File No. 333-291112))</w:t>
        </w:r>
      </w:hyperlink>
    </w:p>
    <w:p>
      <w:pPr>
        <w:spacing w:after="0" w:line="53" w:lineRule="exact"/>
        <w:rPr>
          <w:rFonts w:ascii="Times New Roman" w:cs="Times New Roman" w:eastAsia="Times New Roman" w:hAnsi="Times New Roman"/>
          <w:sz w:val="14"/>
          <w:szCs w:val="14"/>
          <w:u w:val="single" w:color="auto"/>
          <w:color w:val="0000EE"/>
        </w:rPr>
      </w:pPr>
    </w:p>
    <w:p>
      <w:pPr>
        <w:ind w:left="2180" w:right="319" w:hanging="778"/>
        <w:spacing w:after="0" w:line="263" w:lineRule="auto"/>
        <w:tabs>
          <w:tab w:leader="none" w:pos="1480" w:val="left"/>
        </w:tabs>
        <w:numPr>
          <w:ilvl w:val="0"/>
          <w:numId w:val="61"/>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10.27</w:t>
      </w:r>
      <w:hyperlink r:id="rId191">
        <w:r>
          <w:rPr>
            <w:rFonts w:ascii="Times New Roman" w:cs="Times New Roman" w:eastAsia="Times New Roman" w:hAnsi="Times New Roman"/>
            <w:sz w:val="14"/>
            <w:szCs w:val="14"/>
            <w:u w:val="single" w:color="auto"/>
            <w:color w:val="0000EE"/>
          </w:rPr>
          <w:t>Supplement No. 1 to the Security Agreement, dated as of July 19, 2024, among the grantors party thereto and Wilmington Trust, National</w:t>
        </w:r>
      </w:hyperlink>
      <w:r>
        <w:rPr>
          <w:rFonts w:ascii="Times New Roman" w:cs="Times New Roman" w:eastAsia="Times New Roman" w:hAnsi="Times New Roman"/>
          <w:sz w:val="14"/>
          <w:szCs w:val="14"/>
          <w:u w:val="single" w:color="auto"/>
          <w:color w:val="0000EE"/>
        </w:rPr>
        <w:t xml:space="preserve"> </w:t>
      </w:r>
      <w:hyperlink r:id="rId191">
        <w:r>
          <w:rPr>
            <w:rFonts w:ascii="Times New Roman" w:cs="Times New Roman" w:eastAsia="Times New Roman" w:hAnsi="Times New Roman"/>
            <w:sz w:val="14"/>
            <w:szCs w:val="14"/>
            <w:u w:val="single" w:color="auto"/>
            <w:color w:val="0000EE"/>
          </w:rPr>
          <w:t>Association as notes collateral agent (incorporated by reference to Exhibit 10.27 to the Registrant’s Registration Statement on Form S-1</w:t>
        </w:r>
      </w:hyperlink>
      <w:r>
        <w:rPr>
          <w:rFonts w:ascii="Times New Roman" w:cs="Times New Roman" w:eastAsia="Times New Roman" w:hAnsi="Times New Roman"/>
          <w:sz w:val="14"/>
          <w:szCs w:val="14"/>
          <w:u w:val="single" w:color="auto"/>
          <w:color w:val="0000EE"/>
        </w:rPr>
        <w:t xml:space="preserve"> </w:t>
      </w:r>
      <w:hyperlink r:id="rId191">
        <w:r>
          <w:rPr>
            <w:rFonts w:ascii="Times New Roman" w:cs="Times New Roman" w:eastAsia="Times New Roman" w:hAnsi="Times New Roman"/>
            <w:sz w:val="14"/>
            <w:szCs w:val="14"/>
            <w:u w:val="single" w:color="auto"/>
            <w:color w:val="0000EE"/>
          </w:rPr>
          <w:t>filed on October 28, 2025 (File No. 333-291112))</w:t>
        </w:r>
      </w:hyperlink>
    </w:p>
    <w:p>
      <w:pPr>
        <w:spacing w:after="0" w:line="53" w:lineRule="exact"/>
        <w:rPr>
          <w:rFonts w:ascii="Times New Roman" w:cs="Times New Roman" w:eastAsia="Times New Roman" w:hAnsi="Times New Roman"/>
          <w:sz w:val="14"/>
          <w:szCs w:val="14"/>
          <w:u w:val="single" w:color="auto"/>
          <w:color w:val="0000EE"/>
        </w:rPr>
      </w:pPr>
    </w:p>
    <w:p>
      <w:pPr>
        <w:ind w:left="2180" w:right="499" w:hanging="778"/>
        <w:spacing w:after="0" w:line="263" w:lineRule="auto"/>
        <w:tabs>
          <w:tab w:leader="none" w:pos="1480" w:val="left"/>
        </w:tabs>
        <w:numPr>
          <w:ilvl w:val="0"/>
          <w:numId w:val="61"/>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10.28</w:t>
      </w:r>
      <w:hyperlink r:id="rId192">
        <w:r>
          <w:rPr>
            <w:rFonts w:ascii="Times New Roman" w:cs="Times New Roman" w:eastAsia="Times New Roman" w:hAnsi="Times New Roman"/>
            <w:sz w:val="14"/>
            <w:szCs w:val="14"/>
            <w:u w:val="single" w:color="auto"/>
            <w:color w:val="0000EE"/>
          </w:rPr>
          <w:t>Supplement No. 2 to the Security Agreement, dated as of December 20, 2024, among the grantors party thereto and Wilmington Trust,</w:t>
        </w:r>
      </w:hyperlink>
      <w:r>
        <w:rPr>
          <w:rFonts w:ascii="Times New Roman" w:cs="Times New Roman" w:eastAsia="Times New Roman" w:hAnsi="Times New Roman"/>
          <w:sz w:val="14"/>
          <w:szCs w:val="14"/>
          <w:u w:val="single" w:color="auto"/>
          <w:color w:val="0000EE"/>
        </w:rPr>
        <w:t xml:space="preserve"> </w:t>
      </w:r>
      <w:hyperlink r:id="rId192">
        <w:r>
          <w:rPr>
            <w:rFonts w:ascii="Times New Roman" w:cs="Times New Roman" w:eastAsia="Times New Roman" w:hAnsi="Times New Roman"/>
            <w:sz w:val="14"/>
            <w:szCs w:val="14"/>
            <w:u w:val="single" w:color="auto"/>
            <w:color w:val="0000EE"/>
          </w:rPr>
          <w:t>National Association as notes collateral agent (incorporated by reference to Exhibit 10.28 to the Registrant’s Registration Statement on</w:t>
        </w:r>
      </w:hyperlink>
      <w:r>
        <w:rPr>
          <w:rFonts w:ascii="Times New Roman" w:cs="Times New Roman" w:eastAsia="Times New Roman" w:hAnsi="Times New Roman"/>
          <w:sz w:val="14"/>
          <w:szCs w:val="14"/>
          <w:u w:val="single" w:color="auto"/>
          <w:color w:val="0000EE"/>
        </w:rPr>
        <w:t xml:space="preserve"> </w:t>
      </w:r>
      <w:hyperlink r:id="rId192">
        <w:r>
          <w:rPr>
            <w:rFonts w:ascii="Times New Roman" w:cs="Times New Roman" w:eastAsia="Times New Roman" w:hAnsi="Times New Roman"/>
            <w:sz w:val="14"/>
            <w:szCs w:val="14"/>
            <w:u w:val="single" w:color="auto"/>
            <w:color w:val="0000EE"/>
          </w:rPr>
          <w:t>Form S-1 filed on October 28, 2025 (File No. 333-291112))</w:t>
        </w:r>
      </w:hyperlink>
    </w:p>
    <w:p>
      <w:pPr>
        <w:spacing w:after="0" w:line="53" w:lineRule="exact"/>
        <w:rPr>
          <w:rFonts w:ascii="Times New Roman" w:cs="Times New Roman" w:eastAsia="Times New Roman" w:hAnsi="Times New Roman"/>
          <w:sz w:val="14"/>
          <w:szCs w:val="14"/>
          <w:u w:val="single" w:color="auto"/>
          <w:color w:val="0000EE"/>
        </w:rPr>
      </w:pPr>
    </w:p>
    <w:p>
      <w:pPr>
        <w:ind w:left="2180" w:right="719" w:hanging="778"/>
        <w:spacing w:after="0" w:line="318" w:lineRule="auto"/>
        <w:tabs>
          <w:tab w:leader="none" w:pos="1480" w:val="left"/>
        </w:tabs>
        <w:numPr>
          <w:ilvl w:val="0"/>
          <w:numId w:val="61"/>
        </w:numPr>
        <w:rPr>
          <w:rFonts w:ascii="Times New Roman" w:cs="Times New Roman" w:eastAsia="Times New Roman" w:hAnsi="Times New Roman"/>
          <w:sz w:val="13"/>
          <w:szCs w:val="13"/>
          <w:u w:val="single" w:color="auto"/>
          <w:color w:val="0000EE"/>
        </w:rPr>
      </w:pPr>
      <w:r>
        <w:rPr>
          <w:rFonts w:ascii="Times New Roman" w:cs="Times New Roman" w:eastAsia="Times New Roman" w:hAnsi="Times New Roman"/>
          <w:sz w:val="14"/>
          <w:szCs w:val="14"/>
          <w:color w:val="auto"/>
        </w:rPr>
        <w:t>10.29</w:t>
      </w:r>
      <w:hyperlink r:id="rId193">
        <w:r>
          <w:rPr>
            <w:rFonts w:ascii="Times New Roman" w:cs="Times New Roman" w:eastAsia="Times New Roman" w:hAnsi="Times New Roman"/>
            <w:sz w:val="13"/>
            <w:szCs w:val="13"/>
            <w:u w:val="single" w:color="auto"/>
            <w:color w:val="0000EE"/>
          </w:rPr>
          <w:t>Medline Inc. 2025 Employee Stock Purchase Plan (incorporated by reference to Exhibit 4.4 filed with the Registrant’s Registration</w:t>
        </w:r>
      </w:hyperlink>
      <w:r>
        <w:rPr>
          <w:rFonts w:ascii="Times New Roman" w:cs="Times New Roman" w:eastAsia="Times New Roman" w:hAnsi="Times New Roman"/>
          <w:sz w:val="13"/>
          <w:szCs w:val="13"/>
          <w:u w:val="single" w:color="auto"/>
          <w:color w:val="0000EE"/>
        </w:rPr>
        <w:t xml:space="preserve"> </w:t>
      </w:r>
      <w:hyperlink r:id="rId193">
        <w:r>
          <w:rPr>
            <w:rFonts w:ascii="Times New Roman" w:cs="Times New Roman" w:eastAsia="Times New Roman" w:hAnsi="Times New Roman"/>
            <w:sz w:val="13"/>
            <w:szCs w:val="13"/>
            <w:u w:val="single" w:color="auto"/>
            <w:color w:val="0000EE"/>
          </w:rPr>
          <w:t>Statement on Form S-8 filed with the Securities and Exchange Commission on December 16, 2025 (File No. 333-292176))†</w:t>
        </w:r>
      </w:hyperlink>
    </w:p>
    <w:p>
      <w:pPr>
        <w:spacing w:after="0" w:line="51" w:lineRule="exact"/>
        <w:rPr>
          <w:rFonts w:ascii="Times New Roman" w:cs="Times New Roman" w:eastAsia="Times New Roman" w:hAnsi="Times New Roman"/>
          <w:sz w:val="14"/>
          <w:szCs w:val="14"/>
          <w:color w:val="auto"/>
        </w:rPr>
      </w:pPr>
    </w:p>
    <w:p>
      <w:pPr>
        <w:ind w:left="5540"/>
        <w:spacing w:after="0"/>
        <w:rPr>
          <w:sz w:val="20"/>
          <w:szCs w:val="20"/>
          <w:color w:val="auto"/>
        </w:rPr>
      </w:pPr>
      <w:r>
        <w:rPr>
          <w:rFonts w:ascii="Times New Roman" w:cs="Times New Roman" w:eastAsia="Times New Roman" w:hAnsi="Times New Roman"/>
          <w:sz w:val="14"/>
          <w:szCs w:val="14"/>
          <w:color w:val="auto"/>
        </w:rPr>
        <w:t>II-8</w:t>
      </w:r>
    </w:p>
    <w:p>
      <w:pPr>
        <w:sectPr>
          <w:pgSz w:w="11900" w:h="16838" w:orient="portrait"/>
          <w:cols w:equalWidth="0" w:num="1">
            <w:col w:w="10159"/>
          </w:cols>
          <w:pgMar w:left="300" w:top="383" w:right="1440"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30" w:lineRule="exact"/>
        <w:rPr>
          <w:sz w:val="20"/>
          <w:szCs w:val="20"/>
          <w:color w:val="auto"/>
        </w:rPr>
      </w:pPr>
    </w:p>
    <w:tbl>
      <w:tblPr>
        <w:tblLayout w:type="fixed"/>
        <w:tblInd w:w="1480" w:type="dxa"/>
        <w:tblCellMar>
          <w:top w:w="0" w:type="dxa"/>
          <w:left w:w="0" w:type="dxa"/>
          <w:bottom w:w="0" w:type="dxa"/>
          <w:right w:w="0" w:type="dxa"/>
        </w:tblCellMar>
      </w:tblPr>
      <w:tr>
        <w:trPr>
          <w:trHeight w:val="126"/>
        </w:trPr>
        <w:tc>
          <w:tcPr>
            <w:tcW w:w="2320" w:type="dxa"/>
            <w:vAlign w:val="bottom"/>
          </w:tcPr>
          <w:p>
            <w:pPr>
              <w:jc w:val="center"/>
              <w:ind w:right="1905"/>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2500" w:type="dxa"/>
            <w:vAlign w:val="bottom"/>
            <w:vMerge w:val="restart"/>
          </w:tcPr>
          <w:p>
            <w:pPr>
              <w:ind w:left="1960"/>
              <w:spacing w:after="0"/>
              <w:rPr>
                <w:sz w:val="20"/>
                <w:szCs w:val="20"/>
                <w:color w:val="auto"/>
              </w:rPr>
            </w:pPr>
            <w:r>
              <w:rPr>
                <w:rFonts w:ascii="Times New Roman" w:cs="Times New Roman" w:eastAsia="Times New Roman" w:hAnsi="Times New Roman"/>
                <w:sz w:val="11"/>
                <w:szCs w:val="11"/>
                <w:b w:val="1"/>
                <w:bCs w:val="1"/>
                <w:color w:val="auto"/>
                <w:w w:val="95"/>
              </w:rPr>
              <w:t>Description</w:t>
            </w:r>
          </w:p>
        </w:tc>
        <w:tc>
          <w:tcPr>
            <w:tcW w:w="0" w:type="dxa"/>
            <w:vAlign w:val="bottom"/>
          </w:tcPr>
          <w:p>
            <w:pPr>
              <w:spacing w:after="0"/>
              <w:rPr>
                <w:sz w:val="1"/>
                <w:szCs w:val="1"/>
                <w:color w:val="auto"/>
              </w:rPr>
            </w:pPr>
          </w:p>
        </w:tc>
      </w:tr>
      <w:tr>
        <w:trPr>
          <w:trHeight w:val="145"/>
        </w:trPr>
        <w:tc>
          <w:tcPr>
            <w:tcW w:w="2320" w:type="dxa"/>
            <w:vAlign w:val="bottom"/>
          </w:tcPr>
          <w:p>
            <w:pPr>
              <w:jc w:val="center"/>
              <w:ind w:right="1905"/>
              <w:spacing w:after="0"/>
              <w:rPr>
                <w:sz w:val="20"/>
                <w:szCs w:val="20"/>
                <w:color w:val="auto"/>
              </w:rPr>
            </w:pPr>
            <w:r>
              <w:rPr>
                <w:rFonts w:ascii="Times New Roman" w:cs="Times New Roman" w:eastAsia="Times New Roman" w:hAnsi="Times New Roman"/>
                <w:sz w:val="11"/>
                <w:szCs w:val="11"/>
                <w:b w:val="1"/>
                <w:bCs w:val="1"/>
                <w:u w:val="single" w:color="auto"/>
                <w:color w:val="auto"/>
                <w:w w:val="98"/>
              </w:rPr>
              <w:t>No.</w:t>
            </w:r>
          </w:p>
        </w:tc>
        <w:tc>
          <w:tcPr>
            <w:tcW w:w="2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1381760</wp:posOffset>
            </wp:positionH>
            <wp:positionV relativeFrom="paragraph">
              <wp:posOffset>0</wp:posOffset>
            </wp:positionV>
            <wp:extent cx="4899025" cy="63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5">
                      <a:extLst>
                        <a:ext uri="{28A0092B-C50C-407E-A947-70E740481C1C}"/>
                      </a:extLst>
                    </a:blip>
                    <a:srcRect/>
                    <a:stretch>
                      <a:fillRect/>
                    </a:stretch>
                  </pic:blipFill>
                  <pic:spPr bwMode="auto">
                    <a:xfrm>
                      <a:off x="0" y="0"/>
                      <a:ext cx="4899025" cy="6350"/>
                    </a:xfrm>
                    <a:prstGeom prst="rect">
                      <a:avLst/>
                    </a:prstGeom>
                    <a:noFill/>
                  </pic:spPr>
                </pic:pic>
              </a:graphicData>
            </a:graphic>
          </wp:anchor>
        </w:drawing>
      </w:r>
    </w:p>
    <w:p>
      <w:pPr>
        <w:spacing w:after="0" w:line="48" w:lineRule="exact"/>
        <w:rPr>
          <w:sz w:val="20"/>
          <w:szCs w:val="20"/>
          <w:color w:val="auto"/>
        </w:rPr>
      </w:pPr>
    </w:p>
    <w:p>
      <w:pPr>
        <w:ind w:left="2180" w:right="979" w:hanging="778"/>
        <w:spacing w:after="0" w:line="278" w:lineRule="auto"/>
        <w:tabs>
          <w:tab w:leader="none" w:pos="1480" w:val="left"/>
        </w:tabs>
        <w:numPr>
          <w:ilvl w:val="0"/>
          <w:numId w:val="62"/>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10.30</w:t>
      </w:r>
      <w:hyperlink r:id="rId196">
        <w:r>
          <w:rPr>
            <w:rFonts w:ascii="Times New Roman" w:cs="Times New Roman" w:eastAsia="Times New Roman" w:hAnsi="Times New Roman"/>
            <w:sz w:val="14"/>
            <w:szCs w:val="14"/>
            <w:u w:val="single" w:color="auto"/>
            <w:color w:val="0000EE"/>
          </w:rPr>
          <w:t>Amended and Restated Medline Inc. Executive Severance Plan (incorporated by reference to Exhibit 10.30 to the Registrant’s</w:t>
        </w:r>
      </w:hyperlink>
      <w:r>
        <w:rPr>
          <w:rFonts w:ascii="Times New Roman" w:cs="Times New Roman" w:eastAsia="Times New Roman" w:hAnsi="Times New Roman"/>
          <w:sz w:val="14"/>
          <w:szCs w:val="14"/>
          <w:u w:val="single" w:color="auto"/>
          <w:color w:val="0000EE"/>
        </w:rPr>
        <w:t xml:space="preserve"> </w:t>
      </w:r>
      <w:hyperlink r:id="rId196">
        <w:r>
          <w:rPr>
            <w:rFonts w:ascii="Times New Roman" w:cs="Times New Roman" w:eastAsia="Times New Roman" w:hAnsi="Times New Roman"/>
            <w:sz w:val="14"/>
            <w:szCs w:val="14"/>
            <w:u w:val="single" w:color="auto"/>
            <w:color w:val="0000EE"/>
          </w:rPr>
          <w:t>Registration Statement on Form 10-K filed on February 25, 2026 (File No. 001-43022))†</w:t>
        </w:r>
      </w:hyperlink>
    </w:p>
    <w:p>
      <w:pPr>
        <w:spacing w:after="0" w:line="42" w:lineRule="exact"/>
        <w:rPr>
          <w:rFonts w:ascii="Times New Roman" w:cs="Times New Roman" w:eastAsia="Times New Roman" w:hAnsi="Times New Roman"/>
          <w:sz w:val="14"/>
          <w:szCs w:val="14"/>
          <w:u w:val="single" w:color="auto"/>
          <w:color w:val="0000EE"/>
        </w:rPr>
      </w:pPr>
    </w:p>
    <w:p>
      <w:pPr>
        <w:ind w:left="2180" w:right="339" w:hanging="778"/>
        <w:spacing w:after="0" w:line="278" w:lineRule="auto"/>
        <w:tabs>
          <w:tab w:leader="none" w:pos="1480" w:val="left"/>
        </w:tabs>
        <w:numPr>
          <w:ilvl w:val="0"/>
          <w:numId w:val="62"/>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10.31</w:t>
      </w:r>
      <w:hyperlink r:id="rId197">
        <w:r>
          <w:rPr>
            <w:rFonts w:ascii="Times New Roman" w:cs="Times New Roman" w:eastAsia="Times New Roman" w:hAnsi="Times New Roman"/>
            <w:sz w:val="14"/>
            <w:szCs w:val="14"/>
            <w:u w:val="single" w:color="auto"/>
            <w:color w:val="0000EE"/>
          </w:rPr>
          <w:t>Medline Management Aggregator LLC Equity Incentive Plan (incorporated by reference to Exhibit 10.31 to the Registrant’s Registration</w:t>
        </w:r>
      </w:hyperlink>
      <w:r>
        <w:rPr>
          <w:rFonts w:ascii="Times New Roman" w:cs="Times New Roman" w:eastAsia="Times New Roman" w:hAnsi="Times New Roman"/>
          <w:sz w:val="14"/>
          <w:szCs w:val="14"/>
          <w:u w:val="single" w:color="auto"/>
          <w:color w:val="0000EE"/>
        </w:rPr>
        <w:t xml:space="preserve"> </w:t>
      </w:r>
      <w:hyperlink r:id="rId197">
        <w:r>
          <w:rPr>
            <w:rFonts w:ascii="Times New Roman" w:cs="Times New Roman" w:eastAsia="Times New Roman" w:hAnsi="Times New Roman"/>
            <w:sz w:val="14"/>
            <w:szCs w:val="14"/>
            <w:u w:val="single" w:color="auto"/>
            <w:color w:val="0000EE"/>
          </w:rPr>
          <w:t>Statement on Form S-1 filed on October 28, 2025 (File No. 333-291112))†</w:t>
        </w:r>
      </w:hyperlink>
    </w:p>
    <w:p>
      <w:pPr>
        <w:spacing w:after="0" w:line="42" w:lineRule="exact"/>
        <w:rPr>
          <w:rFonts w:ascii="Times New Roman" w:cs="Times New Roman" w:eastAsia="Times New Roman" w:hAnsi="Times New Roman"/>
          <w:sz w:val="14"/>
          <w:szCs w:val="14"/>
          <w:u w:val="single" w:color="auto"/>
          <w:color w:val="0000EE"/>
        </w:rPr>
      </w:pPr>
    </w:p>
    <w:p>
      <w:pPr>
        <w:ind w:left="2180" w:right="319" w:hanging="778"/>
        <w:spacing w:after="0" w:line="278" w:lineRule="auto"/>
        <w:tabs>
          <w:tab w:leader="none" w:pos="1480" w:val="left"/>
        </w:tabs>
        <w:numPr>
          <w:ilvl w:val="0"/>
          <w:numId w:val="62"/>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10.32</w:t>
      </w:r>
      <w:hyperlink r:id="rId198">
        <w:r>
          <w:rPr>
            <w:rFonts w:ascii="Times New Roman" w:cs="Times New Roman" w:eastAsia="Times New Roman" w:hAnsi="Times New Roman"/>
            <w:sz w:val="14"/>
            <w:szCs w:val="14"/>
            <w:u w:val="single" w:color="auto"/>
            <w:color w:val="0000EE"/>
          </w:rPr>
          <w:t>Form of Unit Subscription Agreement (Class A Units and Class B Units of the Aggregator) (incorporated by reference to Exhibit 10.32 to</w:t>
        </w:r>
      </w:hyperlink>
      <w:r>
        <w:rPr>
          <w:rFonts w:ascii="Times New Roman" w:cs="Times New Roman" w:eastAsia="Times New Roman" w:hAnsi="Times New Roman"/>
          <w:sz w:val="14"/>
          <w:szCs w:val="14"/>
          <w:u w:val="single" w:color="auto"/>
          <w:color w:val="0000EE"/>
        </w:rPr>
        <w:t xml:space="preserve"> </w:t>
      </w:r>
      <w:hyperlink r:id="rId198">
        <w:r>
          <w:rPr>
            <w:rFonts w:ascii="Times New Roman" w:cs="Times New Roman" w:eastAsia="Times New Roman" w:hAnsi="Times New Roman"/>
            <w:sz w:val="14"/>
            <w:szCs w:val="14"/>
            <w:u w:val="single" w:color="auto"/>
            <w:color w:val="0000EE"/>
          </w:rPr>
          <w:t>the Registrant’s Registration Statement on Form S-1 filed on October 28, 2025 (File No. 333-291112))†</w:t>
        </w:r>
      </w:hyperlink>
    </w:p>
    <w:p>
      <w:pPr>
        <w:spacing w:after="0" w:line="42" w:lineRule="exact"/>
        <w:rPr>
          <w:rFonts w:ascii="Times New Roman" w:cs="Times New Roman" w:eastAsia="Times New Roman" w:hAnsi="Times New Roman"/>
          <w:sz w:val="14"/>
          <w:szCs w:val="14"/>
          <w:u w:val="single" w:color="auto"/>
          <w:color w:val="0000EE"/>
        </w:rPr>
      </w:pPr>
    </w:p>
    <w:p>
      <w:pPr>
        <w:ind w:left="2180" w:right="419" w:hanging="778"/>
        <w:spacing w:after="0" w:line="278" w:lineRule="auto"/>
        <w:tabs>
          <w:tab w:leader="none" w:pos="1480" w:val="left"/>
        </w:tabs>
        <w:numPr>
          <w:ilvl w:val="0"/>
          <w:numId w:val="62"/>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10.33</w:t>
      </w:r>
      <w:hyperlink r:id="rId199">
        <w:r>
          <w:rPr>
            <w:rFonts w:ascii="Times New Roman" w:cs="Times New Roman" w:eastAsia="Times New Roman" w:hAnsi="Times New Roman"/>
            <w:sz w:val="14"/>
            <w:szCs w:val="14"/>
            <w:u w:val="single" w:color="auto"/>
            <w:color w:val="0000EE"/>
          </w:rPr>
          <w:t>Form of Incentive Unit Subscription Agreement (Class B Units of the Aggregator) (General) (incorporated by reference to Exhibit 10.33</w:t>
        </w:r>
      </w:hyperlink>
      <w:r>
        <w:rPr>
          <w:rFonts w:ascii="Times New Roman" w:cs="Times New Roman" w:eastAsia="Times New Roman" w:hAnsi="Times New Roman"/>
          <w:sz w:val="14"/>
          <w:szCs w:val="14"/>
          <w:u w:val="single" w:color="auto"/>
          <w:color w:val="0000EE"/>
        </w:rPr>
        <w:t xml:space="preserve"> </w:t>
      </w:r>
      <w:hyperlink r:id="rId199">
        <w:r>
          <w:rPr>
            <w:rFonts w:ascii="Times New Roman" w:cs="Times New Roman" w:eastAsia="Times New Roman" w:hAnsi="Times New Roman"/>
            <w:sz w:val="14"/>
            <w:szCs w:val="14"/>
            <w:u w:val="single" w:color="auto"/>
            <w:color w:val="0000EE"/>
          </w:rPr>
          <w:t>to the Registrant’s Registration Statement on Form S-1 filed on October 28, 2025 (File No. 333-291112))†</w:t>
        </w:r>
      </w:hyperlink>
    </w:p>
    <w:p>
      <w:pPr>
        <w:spacing w:after="0" w:line="42" w:lineRule="exact"/>
        <w:rPr>
          <w:rFonts w:ascii="Times New Roman" w:cs="Times New Roman" w:eastAsia="Times New Roman" w:hAnsi="Times New Roman"/>
          <w:sz w:val="14"/>
          <w:szCs w:val="14"/>
          <w:u w:val="single" w:color="auto"/>
          <w:color w:val="0000EE"/>
        </w:rPr>
      </w:pPr>
    </w:p>
    <w:p>
      <w:pPr>
        <w:ind w:left="2180" w:right="739" w:hanging="778"/>
        <w:spacing w:after="0" w:line="263" w:lineRule="auto"/>
        <w:tabs>
          <w:tab w:leader="none" w:pos="1480" w:val="left"/>
        </w:tabs>
        <w:numPr>
          <w:ilvl w:val="0"/>
          <w:numId w:val="62"/>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10.34</w:t>
      </w:r>
      <w:hyperlink r:id="rId200">
        <w:r>
          <w:rPr>
            <w:rFonts w:ascii="Times New Roman" w:cs="Times New Roman" w:eastAsia="Times New Roman" w:hAnsi="Times New Roman"/>
            <w:sz w:val="14"/>
            <w:szCs w:val="14"/>
            <w:u w:val="single" w:color="auto"/>
            <w:color w:val="0000EE"/>
          </w:rPr>
          <w:t>Form of Incentive Unit Subscription Agreement (Class B Units of the Aggregator) (Messrs. Boyle and Pigott Promotion Grant)</w:t>
        </w:r>
      </w:hyperlink>
      <w:r>
        <w:rPr>
          <w:rFonts w:ascii="Times New Roman" w:cs="Times New Roman" w:eastAsia="Times New Roman" w:hAnsi="Times New Roman"/>
          <w:sz w:val="14"/>
          <w:szCs w:val="14"/>
          <w:u w:val="single" w:color="auto"/>
          <w:color w:val="0000EE"/>
        </w:rPr>
        <w:t xml:space="preserve"> </w:t>
      </w:r>
      <w:hyperlink r:id="rId200">
        <w:r>
          <w:rPr>
            <w:rFonts w:ascii="Times New Roman" w:cs="Times New Roman" w:eastAsia="Times New Roman" w:hAnsi="Times New Roman"/>
            <w:sz w:val="14"/>
            <w:szCs w:val="14"/>
            <w:u w:val="single" w:color="auto"/>
            <w:color w:val="0000EE"/>
          </w:rPr>
          <w:t>(incorporated by reference to Exhibit 10.34 to the Registrant’s Registration Statement on Form S-1 filed on October 28, 2025 (File</w:t>
        </w:r>
      </w:hyperlink>
      <w:r>
        <w:rPr>
          <w:rFonts w:ascii="Times New Roman" w:cs="Times New Roman" w:eastAsia="Times New Roman" w:hAnsi="Times New Roman"/>
          <w:sz w:val="14"/>
          <w:szCs w:val="14"/>
          <w:u w:val="single" w:color="auto"/>
          <w:color w:val="0000EE"/>
        </w:rPr>
        <w:t xml:space="preserve"> </w:t>
      </w:r>
      <w:hyperlink r:id="rId200">
        <w:r>
          <w:rPr>
            <w:rFonts w:ascii="Times New Roman" w:cs="Times New Roman" w:eastAsia="Times New Roman" w:hAnsi="Times New Roman"/>
            <w:sz w:val="14"/>
            <w:szCs w:val="14"/>
            <w:u w:val="single" w:color="auto"/>
            <w:color w:val="0000EE"/>
          </w:rPr>
          <w:t>No. 333-291112))†</w:t>
        </w:r>
      </w:hyperlink>
    </w:p>
    <w:p>
      <w:pPr>
        <w:spacing w:after="0" w:line="53" w:lineRule="exact"/>
        <w:rPr>
          <w:rFonts w:ascii="Times New Roman" w:cs="Times New Roman" w:eastAsia="Times New Roman" w:hAnsi="Times New Roman"/>
          <w:sz w:val="14"/>
          <w:szCs w:val="14"/>
          <w:u w:val="single" w:color="auto"/>
          <w:color w:val="0000EE"/>
        </w:rPr>
      </w:pPr>
    </w:p>
    <w:p>
      <w:pPr>
        <w:ind w:left="2180" w:right="319" w:hanging="778"/>
        <w:spacing w:after="0" w:line="258" w:lineRule="auto"/>
        <w:tabs>
          <w:tab w:leader="none" w:pos="1480" w:val="left"/>
        </w:tabs>
        <w:numPr>
          <w:ilvl w:val="0"/>
          <w:numId w:val="62"/>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10.35</w:t>
      </w:r>
      <w:hyperlink r:id="rId201">
        <w:r>
          <w:rPr>
            <w:rFonts w:ascii="Times New Roman" w:cs="Times New Roman" w:eastAsia="Times New Roman" w:hAnsi="Times New Roman"/>
            <w:sz w:val="14"/>
            <w:szCs w:val="14"/>
            <w:u w:val="single" w:color="auto"/>
            <w:color w:val="0000EE"/>
          </w:rPr>
          <w:t>Amendment No. 5 to the Credit Agreement, dated March 28, 2025, among Medline Borrower, LP, as successor in interest to Mozart Debt</w:t>
        </w:r>
      </w:hyperlink>
      <w:r>
        <w:rPr>
          <w:rFonts w:ascii="Times New Roman" w:cs="Times New Roman" w:eastAsia="Times New Roman" w:hAnsi="Times New Roman"/>
          <w:sz w:val="14"/>
          <w:szCs w:val="14"/>
          <w:u w:val="single" w:color="auto"/>
          <w:color w:val="0000EE"/>
        </w:rPr>
        <w:t xml:space="preserve"> </w:t>
      </w:r>
      <w:hyperlink r:id="rId201">
        <w:r>
          <w:rPr>
            <w:rFonts w:ascii="Times New Roman" w:cs="Times New Roman" w:eastAsia="Times New Roman" w:hAnsi="Times New Roman"/>
            <w:sz w:val="14"/>
            <w:szCs w:val="14"/>
            <w:u w:val="single" w:color="auto"/>
            <w:color w:val="0000EE"/>
          </w:rPr>
          <w:t>Merger Sub Inc., Medline Intermediate, LP, the guarantors from time to time party thereto, the lending institutions from time to time party</w:t>
        </w:r>
      </w:hyperlink>
      <w:r>
        <w:rPr>
          <w:rFonts w:ascii="Times New Roman" w:cs="Times New Roman" w:eastAsia="Times New Roman" w:hAnsi="Times New Roman"/>
          <w:sz w:val="14"/>
          <w:szCs w:val="14"/>
          <w:u w:val="single" w:color="auto"/>
          <w:color w:val="0000EE"/>
        </w:rPr>
        <w:t xml:space="preserve"> </w:t>
      </w:r>
      <w:hyperlink r:id="rId201">
        <w:r>
          <w:rPr>
            <w:rFonts w:ascii="Times New Roman" w:cs="Times New Roman" w:eastAsia="Times New Roman" w:hAnsi="Times New Roman"/>
            <w:sz w:val="14"/>
            <w:szCs w:val="14"/>
            <w:u w:val="single" w:color="auto"/>
            <w:color w:val="0000EE"/>
          </w:rPr>
          <w:t>thereto, and Bank of America, N.A., as administrative agent and collateral agent (incorporated by reference to Exhibit 10.35 to the</w:t>
        </w:r>
      </w:hyperlink>
      <w:r>
        <w:rPr>
          <w:rFonts w:ascii="Times New Roman" w:cs="Times New Roman" w:eastAsia="Times New Roman" w:hAnsi="Times New Roman"/>
          <w:sz w:val="14"/>
          <w:szCs w:val="14"/>
          <w:u w:val="single" w:color="auto"/>
          <w:color w:val="0000EE"/>
        </w:rPr>
        <w:t xml:space="preserve"> </w:t>
      </w:r>
      <w:hyperlink r:id="rId201">
        <w:r>
          <w:rPr>
            <w:rFonts w:ascii="Times New Roman" w:cs="Times New Roman" w:eastAsia="Times New Roman" w:hAnsi="Times New Roman"/>
            <w:sz w:val="14"/>
            <w:szCs w:val="14"/>
            <w:u w:val="single" w:color="auto"/>
            <w:color w:val="0000EE"/>
          </w:rPr>
          <w:t>Registrant’s Registration Statement on Form S-1 filed on October 28, 2025 (File No. 333-291112))</w:t>
        </w:r>
      </w:hyperlink>
    </w:p>
    <w:p>
      <w:pPr>
        <w:spacing w:after="0" w:line="56" w:lineRule="exact"/>
        <w:rPr>
          <w:rFonts w:ascii="Times New Roman" w:cs="Times New Roman" w:eastAsia="Times New Roman" w:hAnsi="Times New Roman"/>
          <w:sz w:val="14"/>
          <w:szCs w:val="14"/>
          <w:u w:val="single" w:color="auto"/>
          <w:color w:val="0000EE"/>
        </w:rPr>
      </w:pPr>
    </w:p>
    <w:p>
      <w:pPr>
        <w:ind w:left="2180" w:right="339" w:hanging="778"/>
        <w:spacing w:after="0" w:line="258" w:lineRule="auto"/>
        <w:tabs>
          <w:tab w:leader="none" w:pos="1480" w:val="left"/>
        </w:tabs>
        <w:numPr>
          <w:ilvl w:val="0"/>
          <w:numId w:val="62"/>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10.36</w:t>
      </w:r>
      <w:hyperlink r:id="rId202">
        <w:r>
          <w:rPr>
            <w:rFonts w:ascii="Times New Roman" w:cs="Times New Roman" w:eastAsia="Times New Roman" w:hAnsi="Times New Roman"/>
            <w:sz w:val="14"/>
            <w:szCs w:val="14"/>
            <w:u w:val="single" w:color="auto"/>
            <w:color w:val="0000EE"/>
          </w:rPr>
          <w:t>Amendment No. 6 to the Credit Agreement, dated July 31, 2025, among Medline Borrower, LP, as successor in interest to Mozart Debt</w:t>
        </w:r>
      </w:hyperlink>
      <w:r>
        <w:rPr>
          <w:rFonts w:ascii="Times New Roman" w:cs="Times New Roman" w:eastAsia="Times New Roman" w:hAnsi="Times New Roman"/>
          <w:sz w:val="14"/>
          <w:szCs w:val="14"/>
          <w:u w:val="single" w:color="auto"/>
          <w:color w:val="0000EE"/>
        </w:rPr>
        <w:t xml:space="preserve"> </w:t>
      </w:r>
      <w:hyperlink r:id="rId202">
        <w:r>
          <w:rPr>
            <w:rFonts w:ascii="Times New Roman" w:cs="Times New Roman" w:eastAsia="Times New Roman" w:hAnsi="Times New Roman"/>
            <w:sz w:val="14"/>
            <w:szCs w:val="14"/>
            <w:u w:val="single" w:color="auto"/>
            <w:color w:val="0000EE"/>
          </w:rPr>
          <w:t>Merger Sub Inc., Medline Intermediate, LP, the guarantors from time to time party thereto, the lending institutions from time to time party</w:t>
        </w:r>
      </w:hyperlink>
      <w:r>
        <w:rPr>
          <w:rFonts w:ascii="Times New Roman" w:cs="Times New Roman" w:eastAsia="Times New Roman" w:hAnsi="Times New Roman"/>
          <w:sz w:val="14"/>
          <w:szCs w:val="14"/>
          <w:u w:val="single" w:color="auto"/>
          <w:color w:val="0000EE"/>
        </w:rPr>
        <w:t xml:space="preserve"> </w:t>
      </w:r>
      <w:hyperlink r:id="rId202">
        <w:r>
          <w:rPr>
            <w:rFonts w:ascii="Times New Roman" w:cs="Times New Roman" w:eastAsia="Times New Roman" w:hAnsi="Times New Roman"/>
            <w:sz w:val="14"/>
            <w:szCs w:val="14"/>
            <w:u w:val="single" w:color="auto"/>
            <w:color w:val="0000EE"/>
          </w:rPr>
          <w:t>thereto, and Bank of America, N.A., as administrative agent and collateral agent (incorporated by reference to Exhibit 10.36 to the</w:t>
        </w:r>
      </w:hyperlink>
      <w:r>
        <w:rPr>
          <w:rFonts w:ascii="Times New Roman" w:cs="Times New Roman" w:eastAsia="Times New Roman" w:hAnsi="Times New Roman"/>
          <w:sz w:val="14"/>
          <w:szCs w:val="14"/>
          <w:u w:val="single" w:color="auto"/>
          <w:color w:val="0000EE"/>
        </w:rPr>
        <w:t xml:space="preserve"> </w:t>
      </w:r>
      <w:hyperlink r:id="rId202">
        <w:r>
          <w:rPr>
            <w:rFonts w:ascii="Times New Roman" w:cs="Times New Roman" w:eastAsia="Times New Roman" w:hAnsi="Times New Roman"/>
            <w:sz w:val="14"/>
            <w:szCs w:val="14"/>
            <w:u w:val="single" w:color="auto"/>
            <w:color w:val="0000EE"/>
          </w:rPr>
          <w:t>Registrant’s Registration Statement on Form S-1 filed on October 28, 2025 (File No. 333-291112))</w:t>
        </w:r>
      </w:hyperlink>
    </w:p>
    <w:p>
      <w:pPr>
        <w:spacing w:after="0" w:line="56" w:lineRule="exact"/>
        <w:rPr>
          <w:rFonts w:ascii="Times New Roman" w:cs="Times New Roman" w:eastAsia="Times New Roman" w:hAnsi="Times New Roman"/>
          <w:sz w:val="14"/>
          <w:szCs w:val="14"/>
          <w:u w:val="single" w:color="auto"/>
          <w:color w:val="0000EE"/>
        </w:rPr>
      </w:pPr>
    </w:p>
    <w:p>
      <w:pPr>
        <w:ind w:left="2180" w:right="439" w:hanging="778"/>
        <w:spacing w:after="0" w:line="278" w:lineRule="auto"/>
        <w:tabs>
          <w:tab w:leader="none" w:pos="1480" w:val="left"/>
        </w:tabs>
        <w:numPr>
          <w:ilvl w:val="0"/>
          <w:numId w:val="62"/>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10.37</w:t>
      </w:r>
      <w:hyperlink r:id="rId203">
        <w:r>
          <w:rPr>
            <w:rFonts w:ascii="Times New Roman" w:cs="Times New Roman" w:eastAsia="Times New Roman" w:hAnsi="Times New Roman"/>
            <w:sz w:val="14"/>
            <w:szCs w:val="14"/>
            <w:u w:val="single" w:color="auto"/>
            <w:color w:val="0000EE"/>
          </w:rPr>
          <w:t>Information and Access Agreement between the Registrant and entities affiliated with Hux (incorporated by reference to Exhibit 10.6 to</w:t>
        </w:r>
      </w:hyperlink>
      <w:r>
        <w:rPr>
          <w:rFonts w:ascii="Times New Roman" w:cs="Times New Roman" w:eastAsia="Times New Roman" w:hAnsi="Times New Roman"/>
          <w:sz w:val="14"/>
          <w:szCs w:val="14"/>
          <w:u w:val="single" w:color="auto"/>
          <w:color w:val="0000EE"/>
        </w:rPr>
        <w:t xml:space="preserve"> </w:t>
      </w:r>
      <w:hyperlink r:id="rId203">
        <w:r>
          <w:rPr>
            <w:rFonts w:ascii="Times New Roman" w:cs="Times New Roman" w:eastAsia="Times New Roman" w:hAnsi="Times New Roman"/>
            <w:sz w:val="14"/>
            <w:szCs w:val="14"/>
            <w:u w:val="single" w:color="auto"/>
            <w:color w:val="0000EE"/>
          </w:rPr>
          <w:t>the Registrant’s Current Report on Form 8-K filed on December 22, 2025 (File No. 001-43022))</w:t>
        </w:r>
      </w:hyperlink>
    </w:p>
    <w:p>
      <w:pPr>
        <w:spacing w:after="0" w:line="32" w:lineRule="exact"/>
        <w:rPr>
          <w:rFonts w:ascii="Times New Roman" w:cs="Times New Roman" w:eastAsia="Times New Roman" w:hAnsi="Times New Roman"/>
          <w:sz w:val="14"/>
          <w:szCs w:val="14"/>
          <w:color w:val="auto"/>
        </w:rPr>
      </w:pPr>
    </w:p>
    <w:tbl>
      <w:tblPr>
        <w:tblLayout w:type="fixed"/>
        <w:tblInd w:w="1400" w:type="dxa"/>
        <w:tblCellMar>
          <w:top w:w="0" w:type="dxa"/>
          <w:left w:w="0" w:type="dxa"/>
          <w:bottom w:w="0" w:type="dxa"/>
          <w:right w:w="0" w:type="dxa"/>
        </w:tblCellMar>
      </w:tblPr>
      <w:tr>
        <w:trPr>
          <w:trHeight w:val="161"/>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  21.1</w:t>
            </w:r>
          </w:p>
        </w:tc>
        <w:tc>
          <w:tcPr>
            <w:tcW w:w="7620" w:type="dxa"/>
            <w:vAlign w:val="bottom"/>
            <w:tcBorders>
              <w:bottom w:val="single" w:sz="8" w:color="0000EE"/>
            </w:tcBorders>
            <w:gridSpan w:val="2"/>
          </w:tcPr>
          <w:p>
            <w:pPr>
              <w:spacing w:after="0"/>
              <w:rPr>
                <w:rFonts w:ascii="Times New Roman" w:cs="Times New Roman" w:eastAsia="Times New Roman" w:hAnsi="Times New Roman"/>
                <w:sz w:val="14"/>
                <w:szCs w:val="14"/>
                <w:color w:val="0000EE"/>
                <w:w w:val="98"/>
              </w:rPr>
            </w:pPr>
            <w:hyperlink r:id="rId204">
              <w:r>
                <w:rPr>
                  <w:rFonts w:ascii="Times New Roman" w:cs="Times New Roman" w:eastAsia="Times New Roman" w:hAnsi="Times New Roman"/>
                  <w:sz w:val="14"/>
                  <w:szCs w:val="14"/>
                  <w:color w:val="0000EE"/>
                  <w:w w:val="98"/>
                </w:rPr>
                <w:t>Subsidiaries of the Registrant (incorporated by reference to Exhibit 21.1 to the Registrant’s Registration Statement on Form 10-K filed on</w:t>
              </w:r>
            </w:hyperlink>
          </w:p>
        </w:tc>
      </w:tr>
      <w:tr>
        <w:trPr>
          <w:trHeight w:val="146"/>
        </w:trPr>
        <w:tc>
          <w:tcPr>
            <w:tcW w:w="780" w:type="dxa"/>
            <w:vAlign w:val="bottom"/>
          </w:tcPr>
          <w:p>
            <w:pPr>
              <w:spacing w:after="0"/>
              <w:rPr>
                <w:sz w:val="12"/>
                <w:szCs w:val="12"/>
                <w:color w:val="auto"/>
              </w:rPr>
            </w:pPr>
          </w:p>
        </w:tc>
        <w:tc>
          <w:tcPr>
            <w:tcW w:w="2280" w:type="dxa"/>
            <w:vAlign w:val="bottom"/>
            <w:tcBorders>
              <w:bottom w:val="single" w:sz="8" w:color="0000EE"/>
            </w:tcBorders>
          </w:tcPr>
          <w:p>
            <w:pPr>
              <w:spacing w:after="0" w:line="147" w:lineRule="exact"/>
              <w:rPr>
                <w:rFonts w:ascii="Times New Roman" w:cs="Times New Roman" w:eastAsia="Times New Roman" w:hAnsi="Times New Roman"/>
                <w:sz w:val="14"/>
                <w:szCs w:val="14"/>
                <w:color w:val="0000EE"/>
                <w:w w:val="97"/>
              </w:rPr>
            </w:pPr>
            <w:hyperlink r:id="rId204">
              <w:r>
                <w:rPr>
                  <w:rFonts w:ascii="Times New Roman" w:cs="Times New Roman" w:eastAsia="Times New Roman" w:hAnsi="Times New Roman"/>
                  <w:sz w:val="14"/>
                  <w:szCs w:val="14"/>
                  <w:color w:val="0000EE"/>
                  <w:w w:val="97"/>
                </w:rPr>
                <w:t>February 25, 2026 (File No. 001-43022))</w:t>
              </w:r>
            </w:hyperlink>
          </w:p>
        </w:tc>
        <w:tc>
          <w:tcPr>
            <w:tcW w:w="5340" w:type="dxa"/>
            <w:vAlign w:val="bottom"/>
          </w:tcPr>
          <w:p>
            <w:pPr>
              <w:spacing w:after="0"/>
              <w:rPr>
                <w:sz w:val="12"/>
                <w:szCs w:val="12"/>
                <w:color w:val="auto"/>
              </w:rPr>
            </w:pPr>
          </w:p>
        </w:tc>
      </w:tr>
    </w:tbl>
    <w:p>
      <w:pPr>
        <w:spacing w:after="0" w:line="89" w:lineRule="exact"/>
        <w:rPr>
          <w:sz w:val="20"/>
          <w:szCs w:val="20"/>
          <w:color w:val="auto"/>
        </w:rPr>
      </w:pPr>
    </w:p>
    <w:p>
      <w:pPr>
        <w:ind w:left="1480" w:hanging="78"/>
        <w:spacing w:after="0"/>
        <w:tabs>
          <w:tab w:leader="none" w:pos="148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23.1</w:t>
      </w:r>
      <w:r>
        <w:rPr>
          <w:rFonts w:ascii="Times New Roman" w:cs="Times New Roman" w:eastAsia="Times New Roman" w:hAnsi="Times New Roman"/>
          <w:sz w:val="13"/>
          <w:szCs w:val="13"/>
          <w:u w:val="single" w:color="auto"/>
          <w:color w:val="0000EE"/>
        </w:rPr>
        <w:t>Consent of Ernst &amp; Young LLP as to Medline Inc</w:t>
      </w:r>
      <w:r>
        <w:rPr>
          <w:rFonts w:ascii="Times New Roman" w:cs="Times New Roman" w:eastAsia="Times New Roman" w:hAnsi="Times New Roman"/>
          <w:sz w:val="13"/>
          <w:szCs w:val="13"/>
          <w:color w:val="000000"/>
        </w:rPr>
        <w:t>.</w:t>
      </w:r>
    </w:p>
    <w:p>
      <w:pPr>
        <w:spacing w:after="0" w:line="77" w:lineRule="exact"/>
        <w:rPr>
          <w:sz w:val="20"/>
          <w:szCs w:val="20"/>
          <w:color w:val="auto"/>
        </w:rPr>
      </w:pPr>
    </w:p>
    <w:tbl>
      <w:tblPr>
        <w:tblLayout w:type="fixed"/>
        <w:tblInd w:w="1400" w:type="dxa"/>
        <w:tblCellMar>
          <w:top w:w="0" w:type="dxa"/>
          <w:left w:w="0" w:type="dxa"/>
          <w:bottom w:w="0" w:type="dxa"/>
          <w:right w:w="0" w:type="dxa"/>
        </w:tblCellMar>
      </w:tblPr>
      <w:tr>
        <w:trPr>
          <w:trHeight w:val="161"/>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  23.2</w:t>
            </w:r>
          </w:p>
        </w:tc>
        <w:tc>
          <w:tcPr>
            <w:tcW w:w="4340" w:type="dxa"/>
            <w:vAlign w:val="bottom"/>
            <w:gridSpan w:val="2"/>
          </w:tcPr>
          <w:p>
            <w:pPr>
              <w:spacing w:after="0"/>
              <w:rPr>
                <w:sz w:val="20"/>
                <w:szCs w:val="20"/>
                <w:color w:val="auto"/>
              </w:rPr>
            </w:pPr>
            <w:r>
              <w:rPr>
                <w:rFonts w:ascii="Times New Roman" w:cs="Times New Roman" w:eastAsia="Times New Roman" w:hAnsi="Times New Roman"/>
                <w:sz w:val="14"/>
                <w:szCs w:val="14"/>
                <w:color w:val="0000EE"/>
                <w:w w:val="99"/>
              </w:rPr>
              <w:t>Consent of Simpson Thacher &amp; Bartlett LLP (included as part of Exhibit 5.1)</w:t>
            </w:r>
          </w:p>
        </w:tc>
      </w:tr>
      <w:tr>
        <w:trPr>
          <w:trHeight w:val="20"/>
        </w:trPr>
        <w:tc>
          <w:tcPr>
            <w:tcW w:w="780" w:type="dxa"/>
            <w:vAlign w:val="bottom"/>
          </w:tcPr>
          <w:p>
            <w:pPr>
              <w:spacing w:after="0" w:line="20" w:lineRule="exact"/>
              <w:rPr>
                <w:sz w:val="1"/>
                <w:szCs w:val="1"/>
                <w:color w:val="auto"/>
              </w:rPr>
            </w:pPr>
          </w:p>
        </w:tc>
        <w:tc>
          <w:tcPr>
            <w:tcW w:w="42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  24.1</w:t>
            </w:r>
          </w:p>
        </w:tc>
        <w:tc>
          <w:tcPr>
            <w:tcW w:w="43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w w:val="98"/>
              </w:rPr>
              <w:t>Power of Attorney (included in signature pages of this Registration Statement)</w:t>
            </w:r>
          </w:p>
        </w:tc>
      </w:tr>
    </w:tbl>
    <w:p>
      <w:pPr>
        <w:spacing w:after="0" w:line="89" w:lineRule="exact"/>
        <w:rPr>
          <w:sz w:val="20"/>
          <w:szCs w:val="20"/>
          <w:color w:val="auto"/>
        </w:rPr>
      </w:pPr>
    </w:p>
    <w:p>
      <w:pPr>
        <w:ind w:left="2180" w:hanging="778"/>
        <w:spacing w:after="0"/>
        <w:tabs>
          <w:tab w:leader="none" w:pos="218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EE"/>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78740</wp:posOffset>
            </wp:positionV>
            <wp:extent cx="587375" cy="63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5">
                      <a:extLst>
                        <a:ext uri="{28A0092B-C50C-407E-A947-70E740481C1C}"/>
                      </a:extLst>
                    </a:blip>
                    <a:srcRect/>
                    <a:stretch>
                      <a:fillRect/>
                    </a:stretch>
                  </pic:blipFill>
                  <pic:spPr bwMode="auto">
                    <a:xfrm>
                      <a:off x="0" y="0"/>
                      <a:ext cx="587375" cy="6350"/>
                    </a:xfrm>
                    <a:prstGeom prst="rect">
                      <a:avLst/>
                    </a:prstGeom>
                    <a:noFill/>
                  </pic:spPr>
                </pic:pic>
              </a:graphicData>
            </a:graphic>
          </wp:anchor>
        </w:drawing>
      </w:r>
    </w:p>
    <w:p>
      <w:pPr>
        <w:spacing w:after="0" w:line="128" w:lineRule="exact"/>
        <w:rPr>
          <w:sz w:val="20"/>
          <w:szCs w:val="20"/>
          <w:color w:val="auto"/>
        </w:rPr>
      </w:pPr>
    </w:p>
    <w:p>
      <w:pPr>
        <w:ind w:left="1400"/>
        <w:spacing w:after="0"/>
        <w:tabs>
          <w:tab w:leader="none" w:pos="1540" w:val="left"/>
        </w:tabs>
        <w:rPr>
          <w:sz w:val="20"/>
          <w:szCs w:val="20"/>
          <w:color w:val="auto"/>
        </w:rPr>
      </w:pPr>
      <w:r>
        <w:rPr>
          <w:rFonts w:ascii="Times New Roman" w:cs="Times New Roman" w:eastAsia="Times New Roman" w:hAnsi="Times New Roman"/>
          <w:sz w:val="11"/>
          <w:szCs w:val="11"/>
          <w:color w:val="auto"/>
        </w:rPr>
        <w:t>†</w:t>
        <w:tab/>
        <w:t>Management contract or compensatory plan or arrangement.</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II-9</w:t>
      </w:r>
    </w:p>
    <w:p>
      <w:pPr>
        <w:sectPr>
          <w:pgSz w:w="11900" w:h="16838" w:orient="portrait"/>
          <w:cols w:equalWidth="0" w:num="1">
            <w:col w:w="10159"/>
          </w:cols>
          <w:pgMar w:left="300" w:top="383" w:right="1440"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4" w:lineRule="exact"/>
        <w:rPr>
          <w:sz w:val="20"/>
          <w:szCs w:val="20"/>
          <w:color w:val="auto"/>
        </w:rPr>
      </w:pPr>
    </w:p>
    <w:p>
      <w:pPr>
        <w:ind w:left="1400" w:right="299" w:firstLine="339"/>
        <w:spacing w:after="0" w:line="278"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the Registrant has duly caused this Registration Statement to be signed on its behalf by the undersigned, thereunto duly authorized, in the City of Northfield, State of Illinois, on the 20th day of May, 2026.</w:t>
      </w:r>
    </w:p>
    <w:p>
      <w:pPr>
        <w:spacing w:after="0" w:line="145"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b w:val="1"/>
          <w:bCs w:val="1"/>
          <w:color w:val="auto"/>
        </w:rPr>
        <w:t>MEDLINE INC.</w:t>
      </w:r>
    </w:p>
    <w:p>
      <w:pPr>
        <w:spacing w:after="0" w:line="174"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By: /s/ James M. Boyle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4280535</wp:posOffset>
            </wp:positionH>
            <wp:positionV relativeFrom="paragraph">
              <wp:posOffset>12700</wp:posOffset>
            </wp:positionV>
            <wp:extent cx="2000885" cy="63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7">
                      <a:extLst>
                        <a:ext uri="{28A0092B-C50C-407E-A947-70E740481C1C}"/>
                      </a:extLst>
                    </a:blip>
                    <a:srcRect/>
                    <a:stretch>
                      <a:fillRect/>
                    </a:stretch>
                  </pic:blipFill>
                  <pic:spPr bwMode="auto">
                    <a:xfrm>
                      <a:off x="0" y="0"/>
                      <a:ext cx="2000885" cy="6350"/>
                    </a:xfrm>
                    <a:prstGeom prst="rect">
                      <a:avLst/>
                    </a:prstGeom>
                    <a:noFill/>
                  </pic:spPr>
                </pic:pic>
              </a:graphicData>
            </a:graphic>
          </wp:anchor>
        </w:drawing>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Name: James M. Boyle</w:t>
      </w:r>
    </w:p>
    <w:p>
      <w:pPr>
        <w:spacing w:after="0" w:line="1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Title:   Chief Executive Officer</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II-10</w:t>
      </w:r>
    </w:p>
    <w:p>
      <w:pPr>
        <w:sectPr>
          <w:pgSz w:w="11900" w:h="16838" w:orient="portrait"/>
          <w:cols w:equalWidth="0" w:num="1">
            <w:col w:w="10159"/>
          </w:cols>
          <w:pgMar w:left="300" w:top="383" w:right="1440"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74" w:lineRule="exact"/>
        <w:rPr>
          <w:sz w:val="20"/>
          <w:szCs w:val="20"/>
          <w:color w:val="auto"/>
        </w:rPr>
      </w:pPr>
    </w:p>
    <w:p>
      <w:pPr>
        <w:ind w:left="1400" w:right="339" w:firstLine="339"/>
        <w:spacing w:after="0" w:line="251" w:lineRule="auto"/>
        <w:rPr>
          <w:sz w:val="20"/>
          <w:szCs w:val="20"/>
          <w:color w:val="auto"/>
        </w:rPr>
      </w:pPr>
      <w:r>
        <w:rPr>
          <w:rFonts w:ascii="Times New Roman" w:cs="Times New Roman" w:eastAsia="Times New Roman" w:hAnsi="Times New Roman"/>
          <w:sz w:val="14"/>
          <w:szCs w:val="14"/>
          <w:color w:val="auto"/>
        </w:rPr>
        <w:t>Each person whose signature appears below hereby constitutes and appoints James M. Boyle, Michael B. Drazin, and Alex M. Liberman, and each of them, any of whom may act without joinder of the other, the individual’s true and lawful attorneys-in-fact and agents, with full power of substitution and resubstitution, for the person and in their name, place and stead, in any and all capacities, to sign this Registration Statement and any or all amendments, including post-effective amendments to the Registration Statement, including a prospectus or an amended prospectus therein and any Registration Statement for the same offering that is to be effective upon filing pursuant to Rule 462 under the Securities Act, and all other documents in connection therewith to be filed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might or could do in person, hereby ratifying and confirming all that said attorneys-in-fact as agents or any of them, or their substitute or substitutes, may lawfully do or cause to be done by virtue hereof.</w:t>
      </w:r>
    </w:p>
    <w:p>
      <w:pPr>
        <w:spacing w:after="0" w:line="148" w:lineRule="exact"/>
        <w:rPr>
          <w:sz w:val="20"/>
          <w:szCs w:val="20"/>
          <w:color w:val="auto"/>
        </w:rPr>
      </w:pPr>
    </w:p>
    <w:p>
      <w:pPr>
        <w:ind w:left="1400" w:right="439" w:firstLine="339"/>
        <w:spacing w:after="0" w:line="278"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this Registration Statement has been signed by the following persons in the capacities indicated on the 20th day of May, 2026.</w:t>
      </w:r>
    </w:p>
    <w:p>
      <w:pPr>
        <w:spacing w:after="0" w:line="142" w:lineRule="exact"/>
        <w:rPr>
          <w:sz w:val="20"/>
          <w:szCs w:val="20"/>
          <w:color w:val="auto"/>
        </w:rPr>
      </w:pPr>
    </w:p>
    <w:tbl>
      <w:tblPr>
        <w:tblLayout w:type="fixed"/>
        <w:tblInd w:w="1400" w:type="dxa"/>
        <w:tblCellMar>
          <w:top w:w="0" w:type="dxa"/>
          <w:left w:w="0" w:type="dxa"/>
          <w:bottom w:w="0" w:type="dxa"/>
          <w:right w:w="0" w:type="dxa"/>
        </w:tblCellMar>
      </w:tblPr>
      <w:tr>
        <w:trPr>
          <w:trHeight w:val="144"/>
        </w:trPr>
        <w:tc>
          <w:tcPr>
            <w:tcW w:w="3460" w:type="dxa"/>
            <w:vAlign w:val="bottom"/>
            <w:tcBorders>
              <w:bottom w:val="single" w:sz="8" w:color="auto"/>
            </w:tcBorders>
          </w:tcPr>
          <w:p>
            <w:pPr>
              <w:jc w:val="center"/>
              <w:ind w:left="811"/>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8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Title</w:t>
            </w:r>
          </w:p>
        </w:tc>
      </w:tr>
      <w:tr>
        <w:trPr>
          <w:trHeight w:val="313"/>
        </w:trPr>
        <w:tc>
          <w:tcPr>
            <w:tcW w:w="3460" w:type="dxa"/>
            <w:vAlign w:val="bottom"/>
            <w:tcBorders>
              <w:bottom w:val="single" w:sz="8" w:color="auto"/>
            </w:tcBorders>
          </w:tcPr>
          <w:p>
            <w:pPr>
              <w:jc w:val="center"/>
              <w:ind w:left="811"/>
              <w:spacing w:after="0"/>
              <w:rPr>
                <w:sz w:val="20"/>
                <w:szCs w:val="20"/>
                <w:color w:val="auto"/>
              </w:rPr>
            </w:pPr>
            <w:r>
              <w:rPr>
                <w:rFonts w:ascii="Times New Roman" w:cs="Times New Roman" w:eastAsia="Times New Roman" w:hAnsi="Times New Roman"/>
                <w:sz w:val="14"/>
                <w:szCs w:val="14"/>
                <w:color w:val="auto"/>
                <w:w w:val="98"/>
              </w:rPr>
              <w:t>/s/ James M. Boyle</w:t>
            </w:r>
          </w:p>
        </w:tc>
        <w:tc>
          <w:tcPr>
            <w:tcW w:w="8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Chief Executive Officer and Director</w:t>
            </w:r>
          </w:p>
        </w:tc>
      </w:tr>
      <w:tr>
        <w:trPr>
          <w:trHeight w:val="172"/>
        </w:trPr>
        <w:tc>
          <w:tcPr>
            <w:tcW w:w="3460" w:type="dxa"/>
            <w:vAlign w:val="bottom"/>
          </w:tcPr>
          <w:p>
            <w:pPr>
              <w:jc w:val="center"/>
              <w:ind w:left="811"/>
              <w:spacing w:after="0"/>
              <w:rPr>
                <w:sz w:val="20"/>
                <w:szCs w:val="20"/>
                <w:color w:val="auto"/>
              </w:rPr>
            </w:pPr>
            <w:r>
              <w:rPr>
                <w:rFonts w:ascii="Times New Roman" w:cs="Times New Roman" w:eastAsia="Times New Roman" w:hAnsi="Times New Roman"/>
                <w:sz w:val="14"/>
                <w:szCs w:val="14"/>
                <w:color w:val="auto"/>
                <w:w w:val="99"/>
              </w:rPr>
              <w:t>James M. Boyle</w:t>
            </w: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(principal executive officer)</w:t>
            </w:r>
          </w:p>
        </w:tc>
      </w:tr>
      <w:tr>
        <w:trPr>
          <w:trHeight w:val="328"/>
        </w:trPr>
        <w:tc>
          <w:tcPr>
            <w:tcW w:w="3460" w:type="dxa"/>
            <w:vAlign w:val="bottom"/>
            <w:tcBorders>
              <w:bottom w:val="single" w:sz="8" w:color="auto"/>
            </w:tcBorders>
          </w:tcPr>
          <w:p>
            <w:pPr>
              <w:jc w:val="center"/>
              <w:ind w:left="811"/>
              <w:spacing w:after="0"/>
              <w:rPr>
                <w:sz w:val="20"/>
                <w:szCs w:val="20"/>
                <w:color w:val="auto"/>
              </w:rPr>
            </w:pPr>
            <w:r>
              <w:rPr>
                <w:rFonts w:ascii="Times New Roman" w:cs="Times New Roman" w:eastAsia="Times New Roman" w:hAnsi="Times New Roman"/>
                <w:sz w:val="14"/>
                <w:szCs w:val="14"/>
                <w:color w:val="auto"/>
              </w:rPr>
              <w:t>/s/ Charles N. Mills</w:t>
            </w:r>
          </w:p>
        </w:tc>
        <w:tc>
          <w:tcPr>
            <w:tcW w:w="8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Chair of the Board of Directors</w:t>
            </w:r>
          </w:p>
        </w:tc>
      </w:tr>
      <w:tr>
        <w:trPr>
          <w:trHeight w:val="172"/>
        </w:trPr>
        <w:tc>
          <w:tcPr>
            <w:tcW w:w="3460" w:type="dxa"/>
            <w:vAlign w:val="bottom"/>
          </w:tcPr>
          <w:p>
            <w:pPr>
              <w:jc w:val="center"/>
              <w:ind w:left="791"/>
              <w:spacing w:after="0"/>
              <w:rPr>
                <w:sz w:val="20"/>
                <w:szCs w:val="20"/>
                <w:color w:val="auto"/>
              </w:rPr>
            </w:pPr>
            <w:r>
              <w:rPr>
                <w:rFonts w:ascii="Times New Roman" w:cs="Times New Roman" w:eastAsia="Times New Roman" w:hAnsi="Times New Roman"/>
                <w:sz w:val="14"/>
                <w:szCs w:val="14"/>
                <w:color w:val="auto"/>
                <w:w w:val="98"/>
              </w:rPr>
              <w:t>Charles N. Mills</w:t>
            </w: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0" w:type="dxa"/>
            <w:vAlign w:val="bottom"/>
          </w:tcPr>
          <w:p>
            <w:pPr>
              <w:spacing w:after="0"/>
              <w:rPr>
                <w:sz w:val="14"/>
                <w:szCs w:val="14"/>
                <w:color w:val="auto"/>
              </w:rPr>
            </w:pPr>
          </w:p>
        </w:tc>
      </w:tr>
      <w:tr>
        <w:trPr>
          <w:trHeight w:val="328"/>
        </w:trPr>
        <w:tc>
          <w:tcPr>
            <w:tcW w:w="3460" w:type="dxa"/>
            <w:vAlign w:val="bottom"/>
            <w:tcBorders>
              <w:bottom w:val="single" w:sz="8" w:color="auto"/>
            </w:tcBorders>
          </w:tcPr>
          <w:p>
            <w:pPr>
              <w:jc w:val="center"/>
              <w:ind w:left="811"/>
              <w:spacing w:after="0"/>
              <w:rPr>
                <w:sz w:val="20"/>
                <w:szCs w:val="20"/>
                <w:color w:val="auto"/>
              </w:rPr>
            </w:pPr>
            <w:r>
              <w:rPr>
                <w:rFonts w:ascii="Times New Roman" w:cs="Times New Roman" w:eastAsia="Times New Roman" w:hAnsi="Times New Roman"/>
                <w:sz w:val="14"/>
                <w:szCs w:val="14"/>
                <w:color w:val="auto"/>
                <w:w w:val="96"/>
              </w:rPr>
              <w:t>/s/ Joseph P. Baratta</w:t>
            </w:r>
          </w:p>
        </w:tc>
        <w:tc>
          <w:tcPr>
            <w:tcW w:w="8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Director</w:t>
            </w:r>
          </w:p>
        </w:tc>
      </w:tr>
      <w:tr>
        <w:trPr>
          <w:trHeight w:val="172"/>
        </w:trPr>
        <w:tc>
          <w:tcPr>
            <w:tcW w:w="3460" w:type="dxa"/>
            <w:vAlign w:val="bottom"/>
          </w:tcPr>
          <w:p>
            <w:pPr>
              <w:jc w:val="center"/>
              <w:ind w:left="811"/>
              <w:spacing w:after="0"/>
              <w:rPr>
                <w:sz w:val="20"/>
                <w:szCs w:val="20"/>
                <w:color w:val="auto"/>
              </w:rPr>
            </w:pPr>
            <w:r>
              <w:rPr>
                <w:rFonts w:ascii="Times New Roman" w:cs="Times New Roman" w:eastAsia="Times New Roman" w:hAnsi="Times New Roman"/>
                <w:sz w:val="14"/>
                <w:szCs w:val="14"/>
                <w:color w:val="auto"/>
                <w:w w:val="97"/>
              </w:rPr>
              <w:t>Joseph P. Baratta</w:t>
            </w: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0" w:type="dxa"/>
            <w:vAlign w:val="bottom"/>
          </w:tcPr>
          <w:p>
            <w:pPr>
              <w:spacing w:after="0"/>
              <w:rPr>
                <w:sz w:val="14"/>
                <w:szCs w:val="14"/>
                <w:color w:val="auto"/>
              </w:rPr>
            </w:pPr>
          </w:p>
        </w:tc>
      </w:tr>
      <w:tr>
        <w:trPr>
          <w:trHeight w:val="328"/>
        </w:trPr>
        <w:tc>
          <w:tcPr>
            <w:tcW w:w="3460" w:type="dxa"/>
            <w:vAlign w:val="bottom"/>
            <w:tcBorders>
              <w:bottom w:val="single" w:sz="8" w:color="auto"/>
            </w:tcBorders>
          </w:tcPr>
          <w:p>
            <w:pPr>
              <w:jc w:val="center"/>
              <w:ind w:left="811"/>
              <w:spacing w:after="0"/>
              <w:rPr>
                <w:sz w:val="20"/>
                <w:szCs w:val="20"/>
                <w:color w:val="auto"/>
              </w:rPr>
            </w:pPr>
            <w:r>
              <w:rPr>
                <w:rFonts w:ascii="Times New Roman" w:cs="Times New Roman" w:eastAsia="Times New Roman" w:hAnsi="Times New Roman"/>
                <w:sz w:val="14"/>
                <w:szCs w:val="14"/>
                <w:color w:val="auto"/>
                <w:w w:val="99"/>
              </w:rPr>
              <w:t>/s/ Jacob D. Best</w:t>
            </w:r>
          </w:p>
        </w:tc>
        <w:tc>
          <w:tcPr>
            <w:tcW w:w="8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Director</w:t>
            </w:r>
          </w:p>
        </w:tc>
      </w:tr>
      <w:tr>
        <w:trPr>
          <w:trHeight w:val="172"/>
        </w:trPr>
        <w:tc>
          <w:tcPr>
            <w:tcW w:w="3460" w:type="dxa"/>
            <w:vAlign w:val="bottom"/>
          </w:tcPr>
          <w:p>
            <w:pPr>
              <w:jc w:val="center"/>
              <w:ind w:left="811"/>
              <w:spacing w:after="0"/>
              <w:rPr>
                <w:sz w:val="20"/>
                <w:szCs w:val="20"/>
                <w:color w:val="auto"/>
              </w:rPr>
            </w:pPr>
            <w:r>
              <w:rPr>
                <w:rFonts w:ascii="Times New Roman" w:cs="Times New Roman" w:eastAsia="Times New Roman" w:hAnsi="Times New Roman"/>
                <w:sz w:val="14"/>
                <w:szCs w:val="14"/>
                <w:color w:val="auto"/>
              </w:rPr>
              <w:t>Jacob D. Best</w:t>
            </w: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0" w:type="dxa"/>
            <w:vAlign w:val="bottom"/>
          </w:tcPr>
          <w:p>
            <w:pPr>
              <w:spacing w:after="0"/>
              <w:rPr>
                <w:sz w:val="14"/>
                <w:szCs w:val="14"/>
                <w:color w:val="auto"/>
              </w:rPr>
            </w:pPr>
          </w:p>
        </w:tc>
      </w:tr>
      <w:tr>
        <w:trPr>
          <w:trHeight w:val="328"/>
        </w:trPr>
        <w:tc>
          <w:tcPr>
            <w:tcW w:w="3460" w:type="dxa"/>
            <w:vAlign w:val="bottom"/>
            <w:tcBorders>
              <w:bottom w:val="single" w:sz="8" w:color="auto"/>
            </w:tcBorders>
          </w:tcPr>
          <w:p>
            <w:pPr>
              <w:jc w:val="center"/>
              <w:ind w:left="811"/>
              <w:spacing w:after="0"/>
              <w:rPr>
                <w:sz w:val="20"/>
                <w:szCs w:val="20"/>
                <w:color w:val="auto"/>
              </w:rPr>
            </w:pPr>
            <w:r>
              <w:rPr>
                <w:rFonts w:ascii="Times New Roman" w:cs="Times New Roman" w:eastAsia="Times New Roman" w:hAnsi="Times New Roman"/>
                <w:sz w:val="14"/>
                <w:szCs w:val="14"/>
                <w:color w:val="auto"/>
                <w:w w:val="97"/>
              </w:rPr>
              <w:t>/s/ Todd M. Bluedorn</w:t>
            </w:r>
          </w:p>
        </w:tc>
        <w:tc>
          <w:tcPr>
            <w:tcW w:w="8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Director</w:t>
            </w:r>
          </w:p>
        </w:tc>
      </w:tr>
      <w:tr>
        <w:trPr>
          <w:trHeight w:val="172"/>
        </w:trPr>
        <w:tc>
          <w:tcPr>
            <w:tcW w:w="3460" w:type="dxa"/>
            <w:vAlign w:val="bottom"/>
          </w:tcPr>
          <w:p>
            <w:pPr>
              <w:jc w:val="center"/>
              <w:ind w:left="811"/>
              <w:spacing w:after="0"/>
              <w:rPr>
                <w:sz w:val="20"/>
                <w:szCs w:val="20"/>
                <w:color w:val="auto"/>
              </w:rPr>
            </w:pPr>
            <w:r>
              <w:rPr>
                <w:rFonts w:ascii="Times New Roman" w:cs="Times New Roman" w:eastAsia="Times New Roman" w:hAnsi="Times New Roman"/>
                <w:sz w:val="14"/>
                <w:szCs w:val="14"/>
                <w:color w:val="auto"/>
                <w:w w:val="97"/>
              </w:rPr>
              <w:t>Todd M. Bluedorn</w:t>
            </w: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0" w:type="dxa"/>
            <w:vAlign w:val="bottom"/>
          </w:tcPr>
          <w:p>
            <w:pPr>
              <w:spacing w:after="0"/>
              <w:rPr>
                <w:sz w:val="14"/>
                <w:szCs w:val="14"/>
                <w:color w:val="auto"/>
              </w:rPr>
            </w:pPr>
          </w:p>
        </w:tc>
      </w:tr>
      <w:tr>
        <w:trPr>
          <w:trHeight w:val="328"/>
        </w:trPr>
        <w:tc>
          <w:tcPr>
            <w:tcW w:w="3460" w:type="dxa"/>
            <w:vAlign w:val="bottom"/>
            <w:tcBorders>
              <w:bottom w:val="single" w:sz="8" w:color="auto"/>
            </w:tcBorders>
          </w:tcPr>
          <w:p>
            <w:pPr>
              <w:jc w:val="center"/>
              <w:ind w:left="811"/>
              <w:spacing w:after="0"/>
              <w:rPr>
                <w:sz w:val="20"/>
                <w:szCs w:val="20"/>
                <w:color w:val="auto"/>
              </w:rPr>
            </w:pPr>
            <w:r>
              <w:rPr>
                <w:rFonts w:ascii="Times New Roman" w:cs="Times New Roman" w:eastAsia="Times New Roman" w:hAnsi="Times New Roman"/>
                <w:sz w:val="14"/>
                <w:szCs w:val="14"/>
                <w:color w:val="auto"/>
                <w:w w:val="99"/>
              </w:rPr>
              <w:t>/s/ Richard A. Galanti</w:t>
            </w:r>
          </w:p>
        </w:tc>
        <w:tc>
          <w:tcPr>
            <w:tcW w:w="8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Director</w:t>
            </w:r>
          </w:p>
        </w:tc>
      </w:tr>
      <w:tr>
        <w:trPr>
          <w:trHeight w:val="172"/>
        </w:trPr>
        <w:tc>
          <w:tcPr>
            <w:tcW w:w="3460" w:type="dxa"/>
            <w:vAlign w:val="bottom"/>
          </w:tcPr>
          <w:p>
            <w:pPr>
              <w:jc w:val="center"/>
              <w:ind w:left="811"/>
              <w:spacing w:after="0"/>
              <w:rPr>
                <w:sz w:val="20"/>
                <w:szCs w:val="20"/>
                <w:color w:val="auto"/>
              </w:rPr>
            </w:pPr>
            <w:r>
              <w:rPr>
                <w:rFonts w:ascii="Times New Roman" w:cs="Times New Roman" w:eastAsia="Times New Roman" w:hAnsi="Times New Roman"/>
                <w:sz w:val="14"/>
                <w:szCs w:val="14"/>
                <w:color w:val="auto"/>
                <w:w w:val="99"/>
              </w:rPr>
              <w:t>Richard A. Galanti</w:t>
            </w: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0" w:type="dxa"/>
            <w:vAlign w:val="bottom"/>
          </w:tcPr>
          <w:p>
            <w:pPr>
              <w:spacing w:after="0"/>
              <w:rPr>
                <w:sz w:val="14"/>
                <w:szCs w:val="14"/>
                <w:color w:val="auto"/>
              </w:rPr>
            </w:pPr>
          </w:p>
        </w:tc>
      </w:tr>
      <w:tr>
        <w:trPr>
          <w:trHeight w:val="328"/>
        </w:trPr>
        <w:tc>
          <w:tcPr>
            <w:tcW w:w="3460" w:type="dxa"/>
            <w:vAlign w:val="bottom"/>
            <w:tcBorders>
              <w:bottom w:val="single" w:sz="8" w:color="auto"/>
            </w:tcBorders>
          </w:tcPr>
          <w:p>
            <w:pPr>
              <w:jc w:val="center"/>
              <w:ind w:left="811"/>
              <w:spacing w:after="0"/>
              <w:rPr>
                <w:sz w:val="20"/>
                <w:szCs w:val="20"/>
                <w:color w:val="auto"/>
              </w:rPr>
            </w:pPr>
            <w:r>
              <w:rPr>
                <w:rFonts w:ascii="Times New Roman" w:cs="Times New Roman" w:eastAsia="Times New Roman" w:hAnsi="Times New Roman"/>
                <w:sz w:val="14"/>
                <w:szCs w:val="14"/>
                <w:color w:val="auto"/>
              </w:rPr>
              <w:t>/s/ Patrick J. Healy</w:t>
            </w:r>
          </w:p>
        </w:tc>
        <w:tc>
          <w:tcPr>
            <w:tcW w:w="8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Director</w:t>
            </w:r>
          </w:p>
        </w:tc>
      </w:tr>
      <w:tr>
        <w:trPr>
          <w:trHeight w:val="172"/>
        </w:trPr>
        <w:tc>
          <w:tcPr>
            <w:tcW w:w="3460" w:type="dxa"/>
            <w:vAlign w:val="bottom"/>
          </w:tcPr>
          <w:p>
            <w:pPr>
              <w:jc w:val="center"/>
              <w:ind w:left="811"/>
              <w:spacing w:after="0"/>
              <w:rPr>
                <w:sz w:val="20"/>
                <w:szCs w:val="20"/>
                <w:color w:val="auto"/>
              </w:rPr>
            </w:pPr>
            <w:r>
              <w:rPr>
                <w:rFonts w:ascii="Times New Roman" w:cs="Times New Roman" w:eastAsia="Times New Roman" w:hAnsi="Times New Roman"/>
                <w:sz w:val="14"/>
                <w:szCs w:val="14"/>
                <w:color w:val="auto"/>
              </w:rPr>
              <w:t>Patrick J. Healy</w:t>
            </w: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0" w:type="dxa"/>
            <w:vAlign w:val="bottom"/>
          </w:tcPr>
          <w:p>
            <w:pPr>
              <w:spacing w:after="0"/>
              <w:rPr>
                <w:sz w:val="14"/>
                <w:szCs w:val="14"/>
                <w:color w:val="auto"/>
              </w:rPr>
            </w:pPr>
          </w:p>
        </w:tc>
      </w:tr>
      <w:tr>
        <w:trPr>
          <w:trHeight w:val="328"/>
        </w:trPr>
        <w:tc>
          <w:tcPr>
            <w:tcW w:w="3460" w:type="dxa"/>
            <w:vAlign w:val="bottom"/>
            <w:tcBorders>
              <w:bottom w:val="single" w:sz="8" w:color="auto"/>
            </w:tcBorders>
          </w:tcPr>
          <w:p>
            <w:pPr>
              <w:jc w:val="center"/>
              <w:ind w:left="811"/>
              <w:spacing w:after="0"/>
              <w:rPr>
                <w:sz w:val="20"/>
                <w:szCs w:val="20"/>
                <w:color w:val="auto"/>
              </w:rPr>
            </w:pPr>
            <w:r>
              <w:rPr>
                <w:rFonts w:ascii="Times New Roman" w:cs="Times New Roman" w:eastAsia="Times New Roman" w:hAnsi="Times New Roman"/>
                <w:sz w:val="14"/>
                <w:szCs w:val="14"/>
                <w:color w:val="auto"/>
                <w:w w:val="98"/>
              </w:rPr>
              <w:t>/s/ Andrew J. Mills</w:t>
            </w:r>
          </w:p>
        </w:tc>
        <w:tc>
          <w:tcPr>
            <w:tcW w:w="8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Director</w:t>
            </w:r>
          </w:p>
        </w:tc>
      </w:tr>
      <w:tr>
        <w:trPr>
          <w:trHeight w:val="172"/>
        </w:trPr>
        <w:tc>
          <w:tcPr>
            <w:tcW w:w="3460" w:type="dxa"/>
            <w:vAlign w:val="bottom"/>
          </w:tcPr>
          <w:p>
            <w:pPr>
              <w:jc w:val="center"/>
              <w:ind w:left="811"/>
              <w:spacing w:after="0"/>
              <w:rPr>
                <w:sz w:val="20"/>
                <w:szCs w:val="20"/>
                <w:color w:val="auto"/>
              </w:rPr>
            </w:pPr>
            <w:r>
              <w:rPr>
                <w:rFonts w:ascii="Times New Roman" w:cs="Times New Roman" w:eastAsia="Times New Roman" w:hAnsi="Times New Roman"/>
                <w:sz w:val="14"/>
                <w:szCs w:val="14"/>
                <w:color w:val="auto"/>
                <w:w w:val="99"/>
              </w:rPr>
              <w:t>Andrew J. Mills</w:t>
            </w: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0" w:type="dxa"/>
            <w:vAlign w:val="bottom"/>
          </w:tcPr>
          <w:p>
            <w:pPr>
              <w:spacing w:after="0"/>
              <w:rPr>
                <w:sz w:val="14"/>
                <w:szCs w:val="14"/>
                <w:color w:val="auto"/>
              </w:rPr>
            </w:pPr>
          </w:p>
        </w:tc>
      </w:tr>
      <w:tr>
        <w:trPr>
          <w:trHeight w:val="328"/>
        </w:trPr>
        <w:tc>
          <w:tcPr>
            <w:tcW w:w="3460" w:type="dxa"/>
            <w:vAlign w:val="bottom"/>
            <w:tcBorders>
              <w:bottom w:val="single" w:sz="8" w:color="auto"/>
            </w:tcBorders>
          </w:tcPr>
          <w:p>
            <w:pPr>
              <w:jc w:val="center"/>
              <w:ind w:left="811"/>
              <w:spacing w:after="0"/>
              <w:rPr>
                <w:sz w:val="20"/>
                <w:szCs w:val="20"/>
                <w:color w:val="auto"/>
              </w:rPr>
            </w:pPr>
            <w:r>
              <w:rPr>
                <w:rFonts w:ascii="Times New Roman" w:cs="Times New Roman" w:eastAsia="Times New Roman" w:hAnsi="Times New Roman"/>
                <w:sz w:val="14"/>
                <w:szCs w:val="14"/>
                <w:color w:val="auto"/>
              </w:rPr>
              <w:t>/s/ Robert R. Schmidt</w:t>
            </w:r>
          </w:p>
        </w:tc>
        <w:tc>
          <w:tcPr>
            <w:tcW w:w="8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Director</w:t>
            </w:r>
          </w:p>
        </w:tc>
      </w:tr>
      <w:tr>
        <w:trPr>
          <w:trHeight w:val="172"/>
        </w:trPr>
        <w:tc>
          <w:tcPr>
            <w:tcW w:w="3460" w:type="dxa"/>
            <w:vAlign w:val="bottom"/>
          </w:tcPr>
          <w:p>
            <w:pPr>
              <w:jc w:val="center"/>
              <w:ind w:left="811"/>
              <w:spacing w:after="0"/>
              <w:rPr>
                <w:sz w:val="20"/>
                <w:szCs w:val="20"/>
                <w:color w:val="auto"/>
              </w:rPr>
            </w:pPr>
            <w:r>
              <w:rPr>
                <w:rFonts w:ascii="Times New Roman" w:cs="Times New Roman" w:eastAsia="Times New Roman" w:hAnsi="Times New Roman"/>
                <w:sz w:val="14"/>
                <w:szCs w:val="14"/>
                <w:color w:val="auto"/>
                <w:w w:val="97"/>
              </w:rPr>
              <w:t>Robert R. Schmidt</w:t>
            </w: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0" w:type="dxa"/>
            <w:vAlign w:val="bottom"/>
          </w:tcPr>
          <w:p>
            <w:pPr>
              <w:spacing w:after="0"/>
              <w:rPr>
                <w:sz w:val="14"/>
                <w:szCs w:val="14"/>
                <w:color w:val="auto"/>
              </w:rPr>
            </w:pPr>
          </w:p>
        </w:tc>
      </w:tr>
      <w:tr>
        <w:trPr>
          <w:trHeight w:val="328"/>
        </w:trPr>
        <w:tc>
          <w:tcPr>
            <w:tcW w:w="3460" w:type="dxa"/>
            <w:vAlign w:val="bottom"/>
            <w:tcBorders>
              <w:bottom w:val="single" w:sz="8" w:color="auto"/>
            </w:tcBorders>
          </w:tcPr>
          <w:p>
            <w:pPr>
              <w:jc w:val="center"/>
              <w:ind w:left="811"/>
              <w:spacing w:after="0"/>
              <w:rPr>
                <w:sz w:val="20"/>
                <w:szCs w:val="20"/>
                <w:color w:val="auto"/>
              </w:rPr>
            </w:pPr>
            <w:r>
              <w:rPr>
                <w:rFonts w:ascii="Times New Roman" w:cs="Times New Roman" w:eastAsia="Times New Roman" w:hAnsi="Times New Roman"/>
                <w:sz w:val="14"/>
                <w:szCs w:val="14"/>
                <w:color w:val="auto"/>
                <w:w w:val="97"/>
              </w:rPr>
              <w:t>/s/ Anushka M. Sunder</w:t>
            </w:r>
          </w:p>
        </w:tc>
        <w:tc>
          <w:tcPr>
            <w:tcW w:w="8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Director</w:t>
            </w:r>
          </w:p>
        </w:tc>
      </w:tr>
      <w:tr>
        <w:trPr>
          <w:trHeight w:val="172"/>
        </w:trPr>
        <w:tc>
          <w:tcPr>
            <w:tcW w:w="3460" w:type="dxa"/>
            <w:vAlign w:val="bottom"/>
          </w:tcPr>
          <w:p>
            <w:pPr>
              <w:jc w:val="center"/>
              <w:ind w:left="811"/>
              <w:spacing w:after="0"/>
              <w:rPr>
                <w:sz w:val="20"/>
                <w:szCs w:val="20"/>
                <w:color w:val="auto"/>
              </w:rPr>
            </w:pPr>
            <w:r>
              <w:rPr>
                <w:rFonts w:ascii="Times New Roman" w:cs="Times New Roman" w:eastAsia="Times New Roman" w:hAnsi="Times New Roman"/>
                <w:sz w:val="14"/>
                <w:szCs w:val="14"/>
                <w:color w:val="auto"/>
                <w:w w:val="97"/>
              </w:rPr>
              <w:t>Anushka M. Sunder</w:t>
            </w: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0" w:type="dxa"/>
            <w:vAlign w:val="bottom"/>
          </w:tcPr>
          <w:p>
            <w:pPr>
              <w:spacing w:after="0"/>
              <w:rPr>
                <w:sz w:val="14"/>
                <w:szCs w:val="14"/>
                <w:color w:val="auto"/>
              </w:rPr>
            </w:pPr>
          </w:p>
        </w:tc>
      </w:tr>
      <w:tr>
        <w:trPr>
          <w:trHeight w:val="328"/>
        </w:trPr>
        <w:tc>
          <w:tcPr>
            <w:tcW w:w="3460" w:type="dxa"/>
            <w:vAlign w:val="bottom"/>
            <w:tcBorders>
              <w:bottom w:val="single" w:sz="8" w:color="auto"/>
            </w:tcBorders>
          </w:tcPr>
          <w:p>
            <w:pPr>
              <w:jc w:val="center"/>
              <w:ind w:left="811"/>
              <w:spacing w:after="0"/>
              <w:rPr>
                <w:sz w:val="20"/>
                <w:szCs w:val="20"/>
                <w:color w:val="auto"/>
              </w:rPr>
            </w:pPr>
            <w:r>
              <w:rPr>
                <w:rFonts w:ascii="Times New Roman" w:cs="Times New Roman" w:eastAsia="Times New Roman" w:hAnsi="Times New Roman"/>
                <w:sz w:val="14"/>
                <w:szCs w:val="14"/>
                <w:color w:val="auto"/>
                <w:w w:val="98"/>
              </w:rPr>
              <w:t>/s/ Thomas W. Sweet</w:t>
            </w:r>
          </w:p>
        </w:tc>
        <w:tc>
          <w:tcPr>
            <w:tcW w:w="8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Director</w:t>
            </w:r>
          </w:p>
        </w:tc>
      </w:tr>
      <w:tr>
        <w:trPr>
          <w:trHeight w:val="172"/>
        </w:trPr>
        <w:tc>
          <w:tcPr>
            <w:tcW w:w="3460" w:type="dxa"/>
            <w:vAlign w:val="bottom"/>
          </w:tcPr>
          <w:p>
            <w:pPr>
              <w:jc w:val="center"/>
              <w:ind w:left="811"/>
              <w:spacing w:after="0"/>
              <w:rPr>
                <w:sz w:val="20"/>
                <w:szCs w:val="20"/>
                <w:color w:val="auto"/>
              </w:rPr>
            </w:pPr>
            <w:r>
              <w:rPr>
                <w:rFonts w:ascii="Times New Roman" w:cs="Times New Roman" w:eastAsia="Times New Roman" w:hAnsi="Times New Roman"/>
                <w:sz w:val="14"/>
                <w:szCs w:val="14"/>
                <w:color w:val="auto"/>
                <w:w w:val="98"/>
              </w:rPr>
              <w:t>Thomas W. Sweet</w:t>
            </w: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0" w:type="dxa"/>
            <w:vAlign w:val="bottom"/>
          </w:tcPr>
          <w:p>
            <w:pPr>
              <w:spacing w:after="0"/>
              <w:rPr>
                <w:sz w:val="14"/>
                <w:szCs w:val="14"/>
                <w:color w:val="auto"/>
              </w:rPr>
            </w:pPr>
          </w:p>
        </w:tc>
      </w:tr>
      <w:tr>
        <w:trPr>
          <w:trHeight w:val="276"/>
        </w:trPr>
        <w:tc>
          <w:tcPr>
            <w:tcW w:w="3460" w:type="dxa"/>
            <w:vAlign w:val="bottom"/>
          </w:tcPr>
          <w:p>
            <w:pPr>
              <w:spacing w:after="0"/>
              <w:rPr>
                <w:sz w:val="24"/>
                <w:szCs w:val="24"/>
                <w:color w:val="auto"/>
              </w:rPr>
            </w:pPr>
          </w:p>
        </w:tc>
        <w:tc>
          <w:tcPr>
            <w:tcW w:w="5040" w:type="dxa"/>
            <w:vAlign w:val="bottom"/>
            <w:gridSpan w:val="3"/>
          </w:tcPr>
          <w:p>
            <w:pPr>
              <w:ind w:left="640"/>
              <w:spacing w:after="0"/>
              <w:rPr>
                <w:sz w:val="20"/>
                <w:szCs w:val="20"/>
                <w:color w:val="auto"/>
              </w:rPr>
            </w:pPr>
            <w:r>
              <w:rPr>
                <w:rFonts w:ascii="Times New Roman" w:cs="Times New Roman" w:eastAsia="Times New Roman" w:hAnsi="Times New Roman"/>
                <w:sz w:val="14"/>
                <w:szCs w:val="14"/>
                <w:color w:val="auto"/>
              </w:rPr>
              <w:t>II-11</w:t>
            </w:r>
          </w:p>
        </w:tc>
      </w:tr>
    </w:tbl>
    <w:p>
      <w:pPr>
        <w:sectPr>
          <w:pgSz w:w="11900" w:h="16838" w:orient="portrait"/>
          <w:cols w:equalWidth="0" w:num="1">
            <w:col w:w="10159"/>
          </w:cols>
          <w:pgMar w:left="300" w:top="383" w:right="1440"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2" w:lineRule="exact"/>
        <w:rPr>
          <w:sz w:val="20"/>
          <w:szCs w:val="20"/>
          <w:color w:val="auto"/>
        </w:rPr>
      </w:pPr>
    </w:p>
    <w:tbl>
      <w:tblPr>
        <w:tblLayout w:type="fixed"/>
        <w:tblInd w:w="1400" w:type="dxa"/>
        <w:tblCellMar>
          <w:top w:w="0" w:type="dxa"/>
          <w:left w:w="0" w:type="dxa"/>
          <w:bottom w:w="0" w:type="dxa"/>
          <w:right w:w="0" w:type="dxa"/>
        </w:tblCellMar>
      </w:tblPr>
      <w:tr>
        <w:trPr>
          <w:trHeight w:val="144"/>
        </w:trPr>
        <w:tc>
          <w:tcPr>
            <w:tcW w:w="3440" w:type="dxa"/>
            <w:vAlign w:val="bottom"/>
            <w:tcBorders>
              <w:bottom w:val="single" w:sz="8" w:color="auto"/>
            </w:tcBorders>
          </w:tcPr>
          <w:p>
            <w:pPr>
              <w:jc w:val="center"/>
              <w:ind w:left="833"/>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9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Title</w:t>
            </w:r>
          </w:p>
        </w:tc>
      </w:tr>
      <w:tr>
        <w:trPr>
          <w:trHeight w:val="313"/>
        </w:trPr>
        <w:tc>
          <w:tcPr>
            <w:tcW w:w="3440" w:type="dxa"/>
            <w:vAlign w:val="bottom"/>
            <w:tcBorders>
              <w:bottom w:val="single" w:sz="8" w:color="auto"/>
            </w:tcBorders>
          </w:tcPr>
          <w:p>
            <w:pPr>
              <w:jc w:val="center"/>
              <w:ind w:left="833"/>
              <w:spacing w:after="0"/>
              <w:rPr>
                <w:sz w:val="20"/>
                <w:szCs w:val="20"/>
                <w:color w:val="auto"/>
              </w:rPr>
            </w:pPr>
            <w:r>
              <w:rPr>
                <w:rFonts w:ascii="Times New Roman" w:cs="Times New Roman" w:eastAsia="Times New Roman" w:hAnsi="Times New Roman"/>
                <w:sz w:val="14"/>
                <w:szCs w:val="14"/>
                <w:color w:val="auto"/>
                <w:w w:val="98"/>
              </w:rPr>
              <w:t>/s/ Stephen H. Wise</w:t>
            </w:r>
          </w:p>
        </w:tc>
        <w:tc>
          <w:tcPr>
            <w:tcW w:w="9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Director</w:t>
            </w:r>
          </w:p>
        </w:tc>
      </w:tr>
      <w:tr>
        <w:trPr>
          <w:trHeight w:val="172"/>
        </w:trPr>
        <w:tc>
          <w:tcPr>
            <w:tcW w:w="3440" w:type="dxa"/>
            <w:vAlign w:val="bottom"/>
          </w:tcPr>
          <w:p>
            <w:pPr>
              <w:jc w:val="center"/>
              <w:ind w:left="833"/>
              <w:spacing w:after="0"/>
              <w:rPr>
                <w:sz w:val="20"/>
                <w:szCs w:val="20"/>
                <w:color w:val="auto"/>
              </w:rPr>
            </w:pPr>
            <w:r>
              <w:rPr>
                <w:rFonts w:ascii="Times New Roman" w:cs="Times New Roman" w:eastAsia="Times New Roman" w:hAnsi="Times New Roman"/>
                <w:sz w:val="14"/>
                <w:szCs w:val="14"/>
                <w:color w:val="auto"/>
                <w:w w:val="99"/>
              </w:rPr>
              <w:t>Stephen H. Wise</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0" w:type="dxa"/>
            <w:vAlign w:val="bottom"/>
          </w:tcPr>
          <w:p>
            <w:pPr>
              <w:spacing w:after="0"/>
              <w:rPr>
                <w:sz w:val="14"/>
                <w:szCs w:val="14"/>
                <w:color w:val="auto"/>
              </w:rPr>
            </w:pPr>
          </w:p>
        </w:tc>
      </w:tr>
      <w:tr>
        <w:trPr>
          <w:trHeight w:val="328"/>
        </w:trPr>
        <w:tc>
          <w:tcPr>
            <w:tcW w:w="3440" w:type="dxa"/>
            <w:vAlign w:val="bottom"/>
            <w:tcBorders>
              <w:bottom w:val="single" w:sz="8" w:color="auto"/>
            </w:tcBorders>
          </w:tcPr>
          <w:p>
            <w:pPr>
              <w:jc w:val="center"/>
              <w:ind w:left="833"/>
              <w:spacing w:after="0"/>
              <w:rPr>
                <w:sz w:val="20"/>
                <w:szCs w:val="20"/>
                <w:color w:val="auto"/>
              </w:rPr>
            </w:pPr>
            <w:r>
              <w:rPr>
                <w:rFonts w:ascii="Times New Roman" w:cs="Times New Roman" w:eastAsia="Times New Roman" w:hAnsi="Times New Roman"/>
                <w:sz w:val="14"/>
                <w:szCs w:val="14"/>
                <w:color w:val="auto"/>
                <w:w w:val="97"/>
              </w:rPr>
              <w:t>/s/ Michael B. Drazin</w:t>
            </w:r>
          </w:p>
        </w:tc>
        <w:tc>
          <w:tcPr>
            <w:tcW w:w="9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Chief Financial Officer</w:t>
            </w:r>
          </w:p>
        </w:tc>
      </w:tr>
      <w:tr>
        <w:trPr>
          <w:trHeight w:val="172"/>
        </w:trPr>
        <w:tc>
          <w:tcPr>
            <w:tcW w:w="3440" w:type="dxa"/>
            <w:vAlign w:val="bottom"/>
          </w:tcPr>
          <w:p>
            <w:pPr>
              <w:jc w:val="center"/>
              <w:ind w:left="833"/>
              <w:spacing w:after="0"/>
              <w:rPr>
                <w:sz w:val="20"/>
                <w:szCs w:val="20"/>
                <w:color w:val="auto"/>
              </w:rPr>
            </w:pPr>
            <w:r>
              <w:rPr>
                <w:rFonts w:ascii="Times New Roman" w:cs="Times New Roman" w:eastAsia="Times New Roman" w:hAnsi="Times New Roman"/>
                <w:sz w:val="14"/>
                <w:szCs w:val="14"/>
                <w:color w:val="auto"/>
                <w:w w:val="98"/>
              </w:rPr>
              <w:t>Michael B. Drazin</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(principal financial officer)</w:t>
            </w:r>
          </w:p>
        </w:tc>
      </w:tr>
      <w:tr>
        <w:trPr>
          <w:trHeight w:val="328"/>
        </w:trPr>
        <w:tc>
          <w:tcPr>
            <w:tcW w:w="3440" w:type="dxa"/>
            <w:vAlign w:val="bottom"/>
            <w:tcBorders>
              <w:bottom w:val="single" w:sz="8" w:color="auto"/>
            </w:tcBorders>
          </w:tcPr>
          <w:p>
            <w:pPr>
              <w:jc w:val="center"/>
              <w:ind w:left="833"/>
              <w:spacing w:after="0"/>
              <w:rPr>
                <w:sz w:val="20"/>
                <w:szCs w:val="20"/>
                <w:color w:val="auto"/>
              </w:rPr>
            </w:pPr>
            <w:r>
              <w:rPr>
                <w:rFonts w:ascii="Times New Roman" w:cs="Times New Roman" w:eastAsia="Times New Roman" w:hAnsi="Times New Roman"/>
                <w:sz w:val="14"/>
                <w:szCs w:val="14"/>
                <w:color w:val="auto"/>
                <w:w w:val="99"/>
              </w:rPr>
              <w:t>/s/ Jessi L. Corcoran</w:t>
            </w:r>
          </w:p>
        </w:tc>
        <w:tc>
          <w:tcPr>
            <w:tcW w:w="9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Chief Accounting Officer</w:t>
            </w:r>
          </w:p>
        </w:tc>
      </w:tr>
      <w:tr>
        <w:trPr>
          <w:trHeight w:val="172"/>
        </w:trPr>
        <w:tc>
          <w:tcPr>
            <w:tcW w:w="3440" w:type="dxa"/>
            <w:vAlign w:val="bottom"/>
          </w:tcPr>
          <w:p>
            <w:pPr>
              <w:jc w:val="center"/>
              <w:ind w:left="833"/>
              <w:spacing w:after="0"/>
              <w:rPr>
                <w:sz w:val="20"/>
                <w:szCs w:val="20"/>
                <w:color w:val="auto"/>
              </w:rPr>
            </w:pPr>
            <w:r>
              <w:rPr>
                <w:rFonts w:ascii="Times New Roman" w:cs="Times New Roman" w:eastAsia="Times New Roman" w:hAnsi="Times New Roman"/>
                <w:sz w:val="14"/>
                <w:szCs w:val="14"/>
                <w:color w:val="auto"/>
              </w:rPr>
              <w:t>Jessi L. Corcoran</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(principal accounting officer)</w:t>
            </w:r>
          </w:p>
        </w:tc>
      </w:tr>
      <w:tr>
        <w:trPr>
          <w:trHeight w:val="276"/>
        </w:trPr>
        <w:tc>
          <w:tcPr>
            <w:tcW w:w="3440" w:type="dxa"/>
            <w:vAlign w:val="bottom"/>
          </w:tcPr>
          <w:p>
            <w:pPr>
              <w:spacing w:after="0"/>
              <w:rPr>
                <w:sz w:val="24"/>
                <w:szCs w:val="24"/>
                <w:color w:val="auto"/>
              </w:rPr>
            </w:pPr>
          </w:p>
        </w:tc>
        <w:tc>
          <w:tcPr>
            <w:tcW w:w="5060" w:type="dxa"/>
            <w:vAlign w:val="bottom"/>
            <w:gridSpan w:val="3"/>
          </w:tcPr>
          <w:p>
            <w:pPr>
              <w:ind w:left="660"/>
              <w:spacing w:after="0"/>
              <w:rPr>
                <w:sz w:val="20"/>
                <w:szCs w:val="20"/>
                <w:color w:val="auto"/>
              </w:rPr>
            </w:pPr>
            <w:r>
              <w:rPr>
                <w:rFonts w:ascii="Times New Roman" w:cs="Times New Roman" w:eastAsia="Times New Roman" w:hAnsi="Times New Roman"/>
                <w:sz w:val="14"/>
                <w:szCs w:val="14"/>
                <w:color w:val="auto"/>
              </w:rPr>
              <w:t>II-12</w:t>
            </w:r>
          </w:p>
        </w:tc>
      </w:tr>
    </w:tbl>
    <w:p>
      <w:pPr>
        <w:sectPr>
          <w:pgSz w:w="11900" w:h="16838" w:orient="portrait"/>
          <w:cols w:equalWidth="0" w:num="1">
            <w:col w:w="10159"/>
          </w:cols>
          <w:pgMar w:left="300" w:top="382" w:right="1440" w:bottom="1440" w:gutter="0" w:footer="0" w:header="0"/>
        </w:sectPr>
      </w:pPr>
    </w:p>
    <w:bookmarkStart w:id="96" w:name="page97"/>
    <w:bookmarkEnd w:id="96"/>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Exhibit 1.1</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Medline Inc.</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Class A Common Stock, Par Value $0.0001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2295525</wp:posOffset>
            </wp:positionH>
            <wp:positionV relativeFrom="paragraph">
              <wp:posOffset>185420</wp:posOffset>
            </wp:positionV>
            <wp:extent cx="1129030" cy="63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10">
                      <a:extLst>
                        <a:ext uri="{28A0092B-C50C-407E-A947-70E740481C1C}"/>
                      </a:extLst>
                    </a:blip>
                    <a:srcRect/>
                    <a:stretch>
                      <a:fillRect/>
                    </a:stretch>
                  </pic:blipFill>
                  <pic:spPr bwMode="auto">
                    <a:xfrm>
                      <a:off x="0" y="0"/>
                      <a:ext cx="1129030" cy="635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Underwriting Agreement</w:t>
      </w:r>
    </w:p>
    <w:p>
      <w:pPr>
        <w:spacing w:after="0" w:line="174" w:lineRule="exact"/>
        <w:rPr>
          <w:sz w:val="20"/>
          <w:szCs w:val="20"/>
          <w:color w:val="auto"/>
        </w:rPr>
      </w:pPr>
    </w:p>
    <w:p>
      <w:pPr>
        <w:jc w:val="right"/>
        <w:ind w:right="279"/>
        <w:spacing w:after="0"/>
        <w:rPr>
          <w:sz w:val="20"/>
          <w:szCs w:val="20"/>
          <w:color w:val="auto"/>
        </w:rPr>
      </w:pPr>
      <w:r>
        <w:rPr>
          <w:rFonts w:ascii="Times New Roman" w:cs="Times New Roman" w:eastAsia="Times New Roman" w:hAnsi="Times New Roman"/>
          <w:sz w:val="14"/>
          <w:szCs w:val="14"/>
          <w:color w:val="auto"/>
        </w:rPr>
        <w:t>May [      ], 2026</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Goldman Sachs &amp; Co. LLC</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Morgan Stanley &amp; Co. LLC</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BofA Securities, Inc.</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J.P. Morgan Securities LLC</w:t>
      </w:r>
    </w:p>
    <w:p>
      <w:pPr>
        <w:spacing w:after="0" w:line="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As representatives (the “Representatives”) of the several Underwriters</w:t>
      </w:r>
    </w:p>
    <w:p>
      <w:pPr>
        <w:spacing w:after="0" w:line="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named in Schedule I hereto,</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c/o Goldman Sachs &amp; Co. LLC</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200 West Street,</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New York, New York 10282-2198</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c/o Morgan Stanley &amp; Co. LLC</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1585 Broadway,</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New York, New York 10036</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c/o BofA Securities, Inc.</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One Bryant Park,</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New York, New York 10036</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c/o J.P. Morgan Securities LLC</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270 Park Avenue,</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New York, New York 10017</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89" w:lineRule="exact"/>
        <w:rPr>
          <w:sz w:val="20"/>
          <w:szCs w:val="20"/>
          <w:color w:val="auto"/>
        </w:rPr>
      </w:pPr>
    </w:p>
    <w:p>
      <w:pPr>
        <w:ind w:left="260" w:right="459" w:firstLine="339"/>
        <w:spacing w:after="0" w:line="275" w:lineRule="auto"/>
        <w:rPr>
          <w:sz w:val="20"/>
          <w:szCs w:val="20"/>
          <w:color w:val="auto"/>
        </w:rPr>
      </w:pPr>
      <w:r>
        <w:rPr>
          <w:rFonts w:ascii="Times New Roman" w:cs="Times New Roman" w:eastAsia="Times New Roman" w:hAnsi="Times New Roman"/>
          <w:sz w:val="13"/>
          <w:szCs w:val="13"/>
          <w:color w:val="auto"/>
        </w:rPr>
        <w:t>The stockholders named in Schedule II hereto (the “Selling Stockholders”) of Medline Inc., a Delaware corporation (the “Company”), propose, subject to the terms and conditions stated in this agreement (this “Agreement”), to sell to the Underwriters named in Schedule I hereto (the “Underwriters”) an aggregate of [_______] shares (the “Firm Shares”) and, at the election of the Underwriters, up to [_______] additional shares (the</w:t>
      </w:r>
    </w:p>
    <w:p>
      <w:pPr>
        <w:ind w:left="260" w:right="699"/>
        <w:spacing w:after="0" w:line="256" w:lineRule="auto"/>
        <w:rPr>
          <w:sz w:val="20"/>
          <w:szCs w:val="20"/>
          <w:color w:val="auto"/>
        </w:rPr>
      </w:pPr>
      <w:r>
        <w:rPr>
          <w:rFonts w:ascii="Times New Roman" w:cs="Times New Roman" w:eastAsia="Times New Roman" w:hAnsi="Times New Roman"/>
          <w:sz w:val="14"/>
          <w:szCs w:val="14"/>
          <w:color w:val="auto"/>
        </w:rPr>
        <w:t>“Optional Shares”) of Class A common stock, par value $0.0001 per share (“Class A Common Stock”), of the Company (the Firm Shares and the Optional Shares that the Underwriters elect to purchase pursuant to Section 3 hereof being collectively called the “Shares”).</w:t>
      </w:r>
    </w:p>
    <w:p>
      <w:pPr>
        <w:spacing w:after="0" w:line="141" w:lineRule="exact"/>
        <w:rPr>
          <w:sz w:val="20"/>
          <w:szCs w:val="20"/>
          <w:color w:val="auto"/>
        </w:rPr>
      </w:pPr>
    </w:p>
    <w:p>
      <w:pPr>
        <w:ind w:left="260" w:right="379" w:firstLine="339"/>
        <w:spacing w:after="0" w:line="292" w:lineRule="auto"/>
        <w:rPr>
          <w:sz w:val="20"/>
          <w:szCs w:val="20"/>
          <w:color w:val="auto"/>
        </w:rPr>
      </w:pPr>
      <w:r>
        <w:rPr>
          <w:rFonts w:ascii="Times New Roman" w:cs="Times New Roman" w:eastAsia="Times New Roman" w:hAnsi="Times New Roman"/>
          <w:sz w:val="13"/>
          <w:szCs w:val="13"/>
          <w:color w:val="auto"/>
        </w:rPr>
        <w:t>The Company is a holding company, and its sole material assets are its equity interests held directly or indirectly through wholly owned subsidiaries in Medline Holdings, LP, a Delaware limited partnership (“Medline Holdings”). As the general partner of Medline Holdings, the Company operates and controls all of the business and affairs of Medline Holdings and, through Medline Holdings and its subsidiaries, conducts its business.</w:t>
      </w:r>
    </w:p>
    <w:p>
      <w:pPr>
        <w:sectPr>
          <w:pgSz w:w="11900" w:h="16838" w:orient="portrait"/>
          <w:cols w:equalWidth="0" w:num="1">
            <w:col w:w="9019"/>
          </w:cols>
          <w:pgMar w:left="1440" w:top="123" w:right="1440" w:bottom="1440" w:gutter="0" w:footer="0" w:header="0"/>
        </w:sectPr>
      </w:pPr>
    </w:p>
    <w:bookmarkStart w:id="97" w:name="page98"/>
    <w:bookmarkEnd w:id="97"/>
    <w:p>
      <w:pPr>
        <w:ind w:left="260" w:right="279" w:firstLine="339"/>
        <w:spacing w:after="0" w:line="25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1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In connection with the offering contemplated by this Agreement, the Class A Common Stock to be sold by each Selling Stockholder (i) is currently held directly by such Selling Stockholder (or is currently held directly by an affiliate of such Selling Stockholder and will be transferred to such Selling Stockholder prior to the applicable Time of Delivery (as defined herein)) or (ii) will be issued by the Company to such Selling Stockholder upon exchange (the “Unit Exchange”) of limited partnership interests in Medline Holdings (“Units”), held by such Selling Stockholder at a ratio of one Unit for one share of Class A Common Stock of the Company, pursuant to the terms of the Second Amended and Restated Limited Partnership Agreement of Medline Holdings (the “Amended and Restated Limited Partnership Agreement”) dated as of December 16, 2025, and the terms of the Exchange Agreement (the “Exchange Agreement”) dated as of December 16, 2025, by and among the Company, Medline Holdings and the other parties named therein. The Class A Common Stock to be sold in the offering by the Selling Stockholders has been registered for resale pursuant to the Registration Statement (as defined below) in accordance with the terms of the Registration Rights Agreement (the “Registration Rights Agreement” and, together with this Agreement, the Amended and Restated Limited Partnership Agreement and the Exchange Agreement, the “Transaction Documents”) dated as of December 16, 2025, between the Company and the other parties named therein.</w:t>
      </w:r>
    </w:p>
    <w:p>
      <w:pPr>
        <w:spacing w:after="0" w:line="144" w:lineRule="exact"/>
        <w:rPr>
          <w:sz w:val="20"/>
          <w:szCs w:val="20"/>
          <w:color w:val="auto"/>
        </w:rPr>
      </w:pPr>
    </w:p>
    <w:p>
      <w:pPr>
        <w:ind w:left="260" w:right="359" w:firstLine="341"/>
        <w:spacing w:after="0" w:line="278" w:lineRule="auto"/>
        <w:tabs>
          <w:tab w:leader="none" w:pos="738"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Company and Medline Holdings (each, a “Medline Party” and collectively, the “Medline Parties”), jointly and severally represents and warrants to, and agrees with, each of the Underwriters that:</w:t>
      </w:r>
    </w:p>
    <w:p>
      <w:pPr>
        <w:spacing w:after="0" w:line="42" w:lineRule="exact"/>
        <w:rPr>
          <w:rFonts w:ascii="Times New Roman" w:cs="Times New Roman" w:eastAsia="Times New Roman" w:hAnsi="Times New Roman"/>
          <w:sz w:val="14"/>
          <w:szCs w:val="14"/>
          <w:color w:val="auto"/>
        </w:rPr>
      </w:pPr>
    </w:p>
    <w:p>
      <w:pPr>
        <w:ind w:left="260" w:right="279" w:firstLine="765"/>
        <w:spacing w:after="0" w:line="269" w:lineRule="auto"/>
        <w:tabs>
          <w:tab w:leader="none" w:pos="1212" w:val="left"/>
        </w:tabs>
        <w:numPr>
          <w:ilvl w:val="1"/>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registration statement on Form S-1 (File No. 333-[_______]) (the “Initial Registration Statement”) in respect of the Shares has been filed with the Securities and Exchange Commission (the “Commission”); the Initial Registration Statement and any post-effective amendment thereto, each in the form heretofore delivered to the Representatives, have been declared effective by the Commission in such form; other than a registration statement, if any, increasing the size of the offering (a “Rule 462(b) Registration Statement”), filed pursuant to Rule 462(b) under the Securities Act of 1933, as amended (the “Act”), which became effective upon filing, no other document with respect to the Initial Registration Statement or document incorporated by reference in the Registration Statement or the prospectus contained therein has been filed with the Commission; and no stop order suspending the effectiveness of the Initial Registration Statement, any post-effective amendment thereto or the Rule 462(b) Registration Statement, if any, has been issued and no proceeding for that purpose or pursuant to Section 8A of the Act has been initiated or, to the knowledge of the Company, threatened by the Commission (any preliminary prospectus included in the Initial Registration Statement or filed with the Commission pursuant to Rule 424(a) of the rules and regulations of the Commission under the Act is hereinafter called a “Preliminary Prospectus”); the various parts of the Initial Registration Statement and the Rule 462(b) Registration Statement, if any, including all exhibits thereto and including the information contained in the form of final prospectus filed with the Commission pursuant to Rule 424(b) under the Act in accordance with Section 6(a) hereof and deemed by virtue of Rule 430A under the Act to be part of the Initial Registration Statement at the time it was declared effective, each as amended at the time such part of the Initial Registration Statement became effective or such part of the Rule 462(b) Registration Statement, if any, became or hereafter becomes effective, are hereinafter collectively called the “Registration Statement”; the Preliminary Prospectus relating to the Shares that was included in the Registration Statement immediately prior to the Applicable Time (as defined in Section 1(c) hereof) is hereinafter called the “Pricing Prospectus”; such final prospectus, in the form first filed pursuant to Rule 424(b) under the Act, is hereinafter called the “Prospectus”; any reference herein to any Preliminary Prospectus, the Pricing Prospectus or the Prospectus shall be deemed to refer to and include the documents incorporated by reference therein pursuant to Item 12 of Form S–1 under the Act, as of the date of such prospectus; any “issuer free writing prospectus” as defined in Rule 433 under the Act relating to the Shares is hereinafter called an “Issuer Free Writing Prospectus”; any oral or written communication with potential investors undertaken in reliance on Rule 163B under the Act (“Rule 163B”) is hereinafter called a “Testing-the-Waters Communication”; and any Testing-the-Waters Communication that is a written communication within the meaning of Rule 405 under the Act is hereinafter called a “Written Testing-the-Waters Communication”.</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39" w:right="1440" w:bottom="1440" w:gutter="0" w:footer="0" w:header="0"/>
        </w:sectPr>
      </w:pPr>
    </w:p>
    <w:bookmarkStart w:id="98" w:name="page99"/>
    <w:bookmarkEnd w:id="98"/>
    <w:p>
      <w:pPr>
        <w:ind w:left="260" w:right="279" w:firstLine="765"/>
        <w:spacing w:after="0" w:line="254" w:lineRule="auto"/>
        <w:tabs>
          <w:tab w:leader="none" w:pos="122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 xml:space="preserve">(i) No order preventing or suspending the use of any Preliminary Prospectus or any Issuer Free Writing Prospectus has been issued by the Commission, and (ii) each Preliminary Prospectus, at the time of filing thereof, conformed in all material respects to the requirements of the Act and the rules and regulations of the Commission thereunder, and did not contain an untrue statement of a material fact or omit to state a material fact required to be stated therein or necessary to make the statements therein, in the light of the circumstances under which they were made, not misleading;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however</w:t>
      </w:r>
      <w:r>
        <w:rPr>
          <w:rFonts w:ascii="Times New Roman" w:cs="Times New Roman" w:eastAsia="Times New Roman" w:hAnsi="Times New Roman"/>
          <w:sz w:val="14"/>
          <w:szCs w:val="14"/>
          <w:color w:val="auto"/>
        </w:rPr>
        <w:t>, that this representation and warranty shall not apply to any statements or omissions made in reliance upon and in conformity with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Underwriter Information (as defined in Section 10(c) of this Agreement).</w:t>
      </w:r>
    </w:p>
    <w:p>
      <w:pPr>
        <w:spacing w:after="0" w:line="142" w:lineRule="exact"/>
        <w:rPr>
          <w:rFonts w:ascii="Times New Roman" w:cs="Times New Roman" w:eastAsia="Times New Roman" w:hAnsi="Times New Roman"/>
          <w:sz w:val="14"/>
          <w:szCs w:val="14"/>
          <w:color w:val="auto"/>
        </w:rPr>
      </w:pPr>
    </w:p>
    <w:p>
      <w:pPr>
        <w:ind w:left="260" w:right="279" w:firstLine="765"/>
        <w:spacing w:after="0" w:line="251" w:lineRule="auto"/>
        <w:tabs>
          <w:tab w:leader="none" w:pos="1212"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For the purposes of this Agreement, the “Applicable Time” is [_______] p.m. (Eastern time) on the date of this Agreement. The Pricing Prospectus, as supplemented by the information listed on Schedule III(c) and Schedule III(d) hereto, taken together (collectively, the “Pricing Disclosure Package”), as of the Applicable Time, did not, and as of each Time of Delivery (as defined in Section 5(a) of this Agreement) will not, include any untrue statement of a material fact or omit to state any material fact necessary in order to make the statements therein, in the light of the circumstances under which they were made, not misleading; and each Issuer Free Writing Prospectus and each Written Testing-the-Waters Communication listed on Schedule III(e) hereto does not conflict with the information contained in the Registration Statement, the Pricing Prospectus or the Prospectus and each Issuer Free Writing Prospectus and each Written Testing-the-Waters Communication listed on Schedule III(e) hereto, as supplemented by and taken together with the Pricing Disclosure Package, as of the Applicable Time, did not, and as of each Time of Delivery will not, include any untrue statement of a material fact or omit to state any material fact necessary in order to make the statements therein, in the light of the circumstances under which they were made, not misleading;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this representation and warranty shall not apply to statements or omissions made in reliance upon and in conformity with the Underwriter Information.</w:t>
      </w:r>
    </w:p>
    <w:p>
      <w:pPr>
        <w:spacing w:after="0" w:line="144" w:lineRule="exact"/>
        <w:rPr>
          <w:rFonts w:ascii="Times New Roman" w:cs="Times New Roman" w:eastAsia="Times New Roman" w:hAnsi="Times New Roman"/>
          <w:sz w:val="14"/>
          <w:szCs w:val="14"/>
          <w:color w:val="auto"/>
        </w:rPr>
      </w:pPr>
    </w:p>
    <w:p>
      <w:pPr>
        <w:ind w:left="260" w:right="279" w:firstLine="765"/>
        <w:spacing w:after="0" w:line="258" w:lineRule="auto"/>
        <w:tabs>
          <w:tab w:leader="none" w:pos="122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documents incorporated by reference in the Pricing Prospectus and the Prospectus, as the case may be, when they became effective or were filed with the Commission, conformed in all material respects to the requirements of the Securities Exchange Act of 1934, as amended (“Exchange Act”), and none of such documents contained any untrue statement of a material fact or omitted to state a material fact necessary to make the statements therein, in the light of the circumstances under which they were made, not misleading.</w:t>
      </w:r>
    </w:p>
    <w:p>
      <w:pPr>
        <w:spacing w:after="0" w:line="139" w:lineRule="exact"/>
        <w:rPr>
          <w:rFonts w:ascii="Times New Roman" w:cs="Times New Roman" w:eastAsia="Times New Roman" w:hAnsi="Times New Roman"/>
          <w:sz w:val="14"/>
          <w:szCs w:val="14"/>
          <w:color w:val="auto"/>
        </w:rPr>
      </w:pPr>
    </w:p>
    <w:p>
      <w:pPr>
        <w:ind w:left="260" w:right="279" w:firstLine="765"/>
        <w:spacing w:after="0" w:line="254" w:lineRule="auto"/>
        <w:tabs>
          <w:tab w:leader="none" w:pos="1212"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Registration Statement conforms, and the Prospectus and any further amendments or supplements to the Registration Statement or the Prospectus will conform, in all material respects to the applicable requirements of the Act and the rules and regulations of the Commission thereunder and do not and will not, as of the applicable effective date as to each part of the Registration Statement, as of the applicable filing date as to the Prospectus and any amendment or supplement thereto, and as of each Time of Delivery,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the Underwriter Information.</w:t>
      </w:r>
    </w:p>
    <w:p>
      <w:pPr>
        <w:spacing w:after="0" w:line="142" w:lineRule="exact"/>
        <w:rPr>
          <w:rFonts w:ascii="Times New Roman" w:cs="Times New Roman" w:eastAsia="Times New Roman" w:hAnsi="Times New Roman"/>
          <w:sz w:val="14"/>
          <w:szCs w:val="14"/>
          <w:color w:val="auto"/>
        </w:rPr>
      </w:pPr>
    </w:p>
    <w:p>
      <w:pPr>
        <w:ind w:left="1200" w:hanging="175"/>
        <w:spacing w:after="0"/>
        <w:tabs>
          <w:tab w:leader="none" w:pos="120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has been duly authorized, executed and delivered by each Medline Party.</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39" w:right="1440" w:bottom="1440" w:gutter="0" w:footer="0" w:header="0"/>
        </w:sectPr>
      </w:pPr>
    </w:p>
    <w:bookmarkStart w:id="99" w:name="page100"/>
    <w:bookmarkEnd w:id="99"/>
    <w:p>
      <w:pPr>
        <w:ind w:left="260" w:right="319" w:firstLine="765"/>
        <w:spacing w:after="0" w:line="270" w:lineRule="auto"/>
        <w:tabs>
          <w:tab w:leader="none" w:pos="122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Neither of the Medline Parties nor any of their subsidiaries has, since the date of the latest audited financial statements included or incorporated by reference in the Pricing Prospectus, (i) sustained any material loss or interference with its business from fire, explosion, flood or other calamity, whether or not covered by insurance, or from any labor dispute or court or governmental action, order or decree or (ii) entered into any transaction or agreement (whether or not in the ordinary course of business) that is material to the Medline Parties and their subsidiaries taken as a whole or incurred any liability or obligation, direct or contingent, that is material to the Medline Parties and their subsidiaries taken as a whole, in each case otherwise than as set forth or contemplated in the Pricing Prospectus; and except as otherwise set forth in or contemplated by the Registration Statement, the Pricing Prospectus and the Prospectus, since the respective dates as of which information is given in the Registration Statement and the Pricing Prospectus, there has not been (x) any change in the capital stock (other than as a result of (i) the exercise or settlement, if any, of stock options or other equity awards or the grant or award, if any, of stock options, restricted stock or other equity pursuant to any of the Medline Parties’ equity plans that are described in the Pricing Prospectus and the Prospectus or (ii) the issuance, if any, of stock upon conversion or exchange of Company securities or securities of Medline Holdings, as described in the Pricing Prospectus and the Prospectus) or material change in the long-term debt of the Medline Parties or any of their subsidiaries or (y) any Material Adverse Effect (as defined below). As used in this Agreement, “Material Adverse Effect” shall mean any material adverse change, or any development that would reasonably be expected to result in a material adverse change, in the condition (financial or otherwise), business, results of operations or prospects, whether or not arising from transactions in the ordinary course of business, of the Medline Parties and their subsidiaries, taken as a whole, except as set forth or contemplated in the Pricing Prospectus.</w:t>
      </w:r>
    </w:p>
    <w:p>
      <w:pPr>
        <w:spacing w:after="0" w:line="307" w:lineRule="exact"/>
        <w:rPr>
          <w:rFonts w:ascii="Times New Roman" w:cs="Times New Roman" w:eastAsia="Times New Roman" w:hAnsi="Times New Roman"/>
          <w:sz w:val="13"/>
          <w:szCs w:val="13"/>
          <w:color w:val="auto"/>
        </w:rPr>
      </w:pPr>
    </w:p>
    <w:p>
      <w:pPr>
        <w:ind w:left="260" w:right="379" w:firstLine="765"/>
        <w:spacing w:after="0" w:line="258" w:lineRule="auto"/>
        <w:tabs>
          <w:tab w:leader="none" w:pos="122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Ernst &amp; Young LLP, who has expressed its opinion with respect to certain financial statements of Medline Holdings included or incorporated by reference in the Registration Statement, the Pricing Prospectus and the Prospectus, is an independent registered public accounting firm within the meaning of the rules of the Public Company Accounting Oversight Board (United States) and as required by the Act and the rules and regulations of the Commission thereunder.</w:t>
      </w:r>
    </w:p>
    <w:p>
      <w:pPr>
        <w:spacing w:after="0" w:line="139" w:lineRule="exact"/>
        <w:rPr>
          <w:rFonts w:ascii="Times New Roman" w:cs="Times New Roman" w:eastAsia="Times New Roman" w:hAnsi="Times New Roman"/>
          <w:sz w:val="14"/>
          <w:szCs w:val="14"/>
          <w:color w:val="auto"/>
        </w:rPr>
      </w:pPr>
    </w:p>
    <w:p>
      <w:pPr>
        <w:ind w:left="260" w:right="279" w:firstLine="765"/>
        <w:spacing w:after="0" w:line="250" w:lineRule="auto"/>
        <w:tabs>
          <w:tab w:leader="none" w:pos="1189"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consolidated historical financial statements of Medline Holdings and its consolidated subsidiaries as of the dates indicated and the related notes thereto included or incorporated by reference in the Registration Statement, the Pricing Prospectus and the Prospectus present fairly in all material respects the consolidated financial position of Medline Holdings and its consolidated subsidiaries as of and at the dates indicated and the results of their operations and cash flows for the periods specified, in each case except as may be noted therein. Such financial statements have been prepared in conformity with generally accepted accounting principles in the United States (“GAAP”) applied on a consistent basis throughout the periods involved (except as otherwise stated therein). The historical financial data of Medline Holdings and its subsidiaries included or incorporated by reference in the Registration Statement, the Pricing Prospectus and the Prospectus under the caption “Summary—Summary Historical Consolidated Financial and Other Data” present fairly in all material respects the information set forth therein on a basis consistent with that of the audited financial statements contained in the Registration Statement, Pricing Prospectus and Prospectus (except as otherwise stated therein). Except as included therein, no historical or pro forma financial statements or supporting schedules are required to be included in the Registration Statement, the Pricing Prospectus or the Prospectus under the Act or the rules and regulations promulgated thereunder. All disclosures contained in the Registration Statement, the Pricing Prospectus and the Prospectus regarding “non-GAAP financial measures” (as such term is defined by the rules and regulations of the Commission) comply in all material respects with Regulation G of the Exchange Act and Item 10</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39" w:right="1440" w:bottom="1440" w:gutter="0" w:footer="0" w:header="0"/>
        </w:sectPr>
      </w:pPr>
    </w:p>
    <w:bookmarkStart w:id="100" w:name="page101"/>
    <w:bookmarkEnd w:id="100"/>
    <w:p>
      <w:pPr>
        <w:jc w:val="both"/>
        <w:ind w:left="260" w:right="399"/>
        <w:spacing w:after="0" w:line="26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of Regulation S-K of the Act, to the extent applicable. The statistical and market related data included or incorporated by reference in the Registration Statement, the Pricing Prospectus and the Prospectus are based on or derived from sources that each Medline Party believes to be reliable and accurate in all material respects and represent their good faith estimates that are made on the basis of data derived from such sources.</w:t>
      </w:r>
    </w:p>
    <w:p>
      <w:pPr>
        <w:spacing w:after="0" w:line="136" w:lineRule="exact"/>
        <w:rPr>
          <w:sz w:val="20"/>
          <w:szCs w:val="20"/>
          <w:color w:val="auto"/>
        </w:rPr>
      </w:pPr>
    </w:p>
    <w:p>
      <w:pPr>
        <w:ind w:left="260" w:right="279" w:firstLine="765"/>
        <w:spacing w:after="0" w:line="269" w:lineRule="auto"/>
        <w:tabs>
          <w:tab w:leader="none" w:pos="1189" w:val="left"/>
        </w:tabs>
        <w:numPr>
          <w:ilvl w:val="1"/>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Medline Party and each “significant subsidiary” of the Medline Parties (as such term is defined in Rule 1-02 of Regulation S-X) (each a “Subsidiary” and collectively the “Subsidiaries”) (i) has been duly incorporated or formed, as applicable, and is validly existing as a corporation, limited partnership or limited liability company, as applicable, and in good standing or equivalent status (to the extent such concept exists in the applicable jurisdiction) under the laws of the jurisdiction of its incorporation or formation, as applicable, (ii) has corporate or other organizational power, as applicable, and authority (x) to own, lease and operate its properties and to conduct its business as described in the Registration Statement, the Pricing Prospectus and the Prospectus, as applicable, and (y) in the case of the Medline Parties, to enter into and perform their respective obligations under this Agreement, and (iii) is duly qualified as a foreign entity to transact business and is in good standing or equivalent status (to the extent such concept exists in the applicable jurisdiction) in each jurisdiction in which such qualification is required, whether by reason of the ownership or leasing of property or the conduct of business, except, in the case of the Medline Parties with respect to clauses (ii) and (iii), and in the case of the Subsidiaries with respect to clauses (i), (ii) and (iii) where the failure to be so organized or qualified, have such power or authority or be in good standing would not, individually or in the aggregate, reasonably be expected to result in a Material Adverse Effect. The Medline Parties do not own or control, directly or indirectly, any corporation, association or other entity other than the subsidiaries listed in Exhibit 21.1 to the Registration Statement (except for any</w:t>
      </w:r>
    </w:p>
    <w:p>
      <w:pPr>
        <w:ind w:left="260" w:right="299" w:firstLine="2"/>
        <w:spacing w:after="0" w:line="250" w:lineRule="auto"/>
        <w:tabs>
          <w:tab w:leader="none" w:pos="426"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non-controlling interests in entities that are not subsidiaries and (ii) unnamed subsidiaries, considered in the aggregate as a single subsidiary, that would not constitute a “significant subsidiary” (as such term is defined in Rule 1-02 of Regulation S-X) as of the end of the year covered by the Prospectus), and each of the subsidiaries of the Company is organized in the jurisdiction set forth beside such subsidiary’s name in such exhibit. As used in this Agreement, “subsidiary” or “subsidiaries” shall mean both direct and indirect subsidiaries of an entity.</w:t>
      </w:r>
    </w:p>
    <w:p>
      <w:pPr>
        <w:spacing w:after="0" w:line="145" w:lineRule="exact"/>
        <w:rPr>
          <w:rFonts w:ascii="Times New Roman" w:cs="Times New Roman" w:eastAsia="Times New Roman" w:hAnsi="Times New Roman"/>
          <w:sz w:val="14"/>
          <w:szCs w:val="14"/>
          <w:color w:val="auto"/>
        </w:rPr>
      </w:pPr>
    </w:p>
    <w:p>
      <w:pPr>
        <w:ind w:left="260" w:right="339" w:firstLine="765"/>
        <w:spacing w:after="0" w:line="250" w:lineRule="auto"/>
        <w:tabs>
          <w:tab w:leader="none" w:pos="1220" w:val="left"/>
        </w:tabs>
        <w:numPr>
          <w:ilvl w:val="1"/>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The Company has an authorized capitalization as set forth in the Pricing Prospectus and (A) all of the issued and outstanding shares of capital stock of the Company (including the Shares to be sold by the Selling Stockholders) have been duly authorized and are (other than the Shares issued pursuant to the Unit Exchange, which are described in clause (B)) validly issued, fully paid and non-assessable and conform in all material respects to the description of the Company’s capital stock contained in the Pricing Disclosure Package and Prospectus; (B) all of the Shares issued pursuant to the Unit Exchange to certain Selling Stockholders have been duly authorized and validly reserved for issuance, and at the Time of Delivery, will be issued and delivered against payment therefor as provided herein and in accordance with the provisions of the Exchange Agreement, and will be validly issued, fully paid and will conform in all material respects to the description of the Company’s capital stock contained in the Pricing Disclosure Package and Prospectus; and (C) all of the issued equity interests of Medline Holdings and its subsidiaries have been duly and validly authorized and issued, fully paid and non-assessable and (except, (a) in the case of any foreign subsidiary, for directors’ qualifying shares and (b) the Units owned by the Pre-IPO Unitholders (each, as defined in the Registration Statement, the Pricing Prospectus and the Prospectus)) are owned directly or indirectly by the Company, free and clear of all liens, mortgages, pledges, security interest, encumbrances, equities or claims other than as described in the Registration Statement, the Pricing Prospectus and the Prospectus, and (ii) there are no outstanding options, warrants, preemptive rights, rights of first refusal or other rights to purchase, or equity or debt securities convertible into or exchangeable or exercisable for, any capital stock of the Medline Parties other than as described in the Registration Statement, the Pricing Prospectus and the Prospectus.</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39" w:right="1440" w:bottom="1440" w:gutter="0" w:footer="0" w:header="0"/>
        </w:sectPr>
      </w:pPr>
    </w:p>
    <w:bookmarkStart w:id="101" w:name="page102"/>
    <w:bookmarkEnd w:id="101"/>
    <w:p>
      <w:pPr>
        <w:ind w:left="260" w:right="419" w:firstLine="765"/>
        <w:spacing w:after="0" w:line="271" w:lineRule="auto"/>
        <w:tabs>
          <w:tab w:leader="none" w:pos="1189" w:val="left"/>
        </w:tabs>
        <w:numPr>
          <w:ilvl w:val="1"/>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None of the Medline Parties nor their subsidiaries are (A) in violation of their respective charter or bylaws or similar organizational documents, as applicable, or (B) on the date hereof and on each Time of Delivery, in default (“Default”) in the performance or observance of any obligation, agreement, covenant or condition under any indenture, mortgage, deed of trust, loan agreement, lease or other agreement or instrument to which the Medline Parties and their subsidiaries are a party (each, an “Existing Instrument”) or by which any of them or any of their respective properties may be bound or (C) in violation of any law applicable to the Medline Parties or any of their subsidiaries or any judgment, order, rule or regulation of any governmental or regulatory authority having jurisdiction over the Medline Parties and their subsidiaries, except, in the case of clause</w:t>
      </w:r>
    </w:p>
    <w:p>
      <w:pPr>
        <w:ind w:left="260" w:right="599" w:firstLine="2"/>
        <w:spacing w:after="0" w:line="256" w:lineRule="auto"/>
        <w:tabs>
          <w:tab w:leader="none" w:pos="479"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and (C), such Defaults or violations as would not, individually or in the aggregate, reasonably be expected to have a Material Adverse Effect or materially and adversely affect the consummation of the transactions contemplated herein.</w:t>
      </w:r>
    </w:p>
    <w:p>
      <w:pPr>
        <w:spacing w:after="0" w:line="140" w:lineRule="exact"/>
        <w:rPr>
          <w:rFonts w:ascii="Times New Roman" w:cs="Times New Roman" w:eastAsia="Times New Roman" w:hAnsi="Times New Roman"/>
          <w:sz w:val="14"/>
          <w:szCs w:val="14"/>
          <w:color w:val="auto"/>
        </w:rPr>
      </w:pPr>
    </w:p>
    <w:p>
      <w:pPr>
        <w:ind w:left="260" w:right="279" w:firstLine="765"/>
        <w:spacing w:after="0" w:line="273" w:lineRule="auto"/>
        <w:tabs>
          <w:tab w:leader="none" w:pos="1258" w:val="left"/>
        </w:tabs>
        <w:numPr>
          <w:ilvl w:val="1"/>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execution, delivery and performance of this Agreement, the issuance and delivery of the Shares pursuant to the Unit Exchange and the transactions contemplated hereby (i) will not result in any violation of the provisions of the charter or bylaws or similar organizational documents of the Medline Parties or any of their subsidiaries, as applicable, (ii) will not conflict with or constitute a breach of, or Default under, or result in the creation or imposition of any lien, charge or encumbrance upon any property or assets of the Medline Parties or any of their subsidiaries pursuant to, or require the consent (except as shall have been obtained prior to the Applicable Time) of any other party to, any Existing Instrument, and (iii) will not result in any violation of any law, regulatory or governmental regulation or rule or court decree applicable to the Medline Parties or any of their subsidiaries, except, in the case of clauses (i) (other than with respect to the Medline Parties), (ii) and (iii) above, for such conflicts, breaches, Defaults, liens, charges, encumbrances or violations as would not, individually or in the aggregate, reasonably be expected to result in a Material Adverse Effect and would not impair, in any material respect, the ability of the Medline Parties to consummate the transactions contemplated by this Agreement.</w:t>
      </w:r>
    </w:p>
    <w:p>
      <w:pPr>
        <w:spacing w:after="0" w:line="133" w:lineRule="exact"/>
        <w:rPr>
          <w:rFonts w:ascii="Times New Roman" w:cs="Times New Roman" w:eastAsia="Times New Roman" w:hAnsi="Times New Roman"/>
          <w:sz w:val="13"/>
          <w:szCs w:val="13"/>
          <w:color w:val="auto"/>
        </w:rPr>
      </w:pPr>
    </w:p>
    <w:p>
      <w:pPr>
        <w:ind w:left="260" w:right="419" w:firstLine="765"/>
        <w:spacing w:after="0" w:line="251" w:lineRule="auto"/>
        <w:tabs>
          <w:tab w:leader="none" w:pos="1220" w:val="left"/>
        </w:tabs>
        <w:numPr>
          <w:ilvl w:val="1"/>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consent, approval, authorization or other order of, or registration, qualification or filing with, any court or other governmental or regulatory authority or agency, is required for the execution, delivery and performance of this Agreement by the Medline Parties the issuance and delivery of the Shares by the Company pursuant to the Unit Exchange or consummation of the transactions contemplated hereby, except for the registration under the Act of the Shares, the approval by the Financial Industry Regulatory Authority (“FINRA”) of the underwriting terms and arrangements and such consents, approvals, orders, authorizations, registrations or qualifications as may be required under state securities or Blue Sky laws in connection with the purchase and distribution of the Shares by the Underwriters, or as shall have been obtained or made prior to the Time of Delivery, except where the failure to obtain any such consents, approvals, authorizations, orders, registrations or qualifications or make such filings would not impair, in any material respect, the ability of the Company to issue the Shares pursuant to the Unit Exchange or to consummate the transactions contemplated by this Agreement.</w:t>
      </w:r>
    </w:p>
    <w:p>
      <w:pPr>
        <w:spacing w:after="0" w:line="148" w:lineRule="exact"/>
        <w:rPr>
          <w:rFonts w:ascii="Times New Roman" w:cs="Times New Roman" w:eastAsia="Times New Roman" w:hAnsi="Times New Roman"/>
          <w:sz w:val="14"/>
          <w:szCs w:val="14"/>
          <w:color w:val="auto"/>
        </w:rPr>
      </w:pPr>
    </w:p>
    <w:p>
      <w:pPr>
        <w:ind w:left="260" w:right="299" w:firstLine="765"/>
        <w:spacing w:after="0" w:line="255" w:lineRule="auto"/>
        <w:tabs>
          <w:tab w:leader="none" w:pos="1220" w:val="left"/>
        </w:tabs>
        <w:numPr>
          <w:ilvl w:val="1"/>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otherwise disclosed in the Registration Statement, the Pricing Prospectus and the Prospectus, there are no legal or governmental actions, suits or proceedings pending or, to the knowledge of the Medline Parties, threatened (i) against or affecting the Medline Parties or any of their subsidiaries or (ii) which has as the subject thereof any property owned or leased by the Medline Parties or any of their subsidiaries, in each case that would reasonably be expected, individually or in the aggregate, to result in a Material Adverse Effect or would materially and adversely affect the transactions contemplated by this Agreement.</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39" w:right="1440" w:bottom="1440" w:gutter="0" w:footer="0" w:header="0"/>
        </w:sectPr>
      </w:pPr>
    </w:p>
    <w:bookmarkStart w:id="102" w:name="page103"/>
    <w:bookmarkEnd w:id="102"/>
    <w:p>
      <w:pPr>
        <w:ind w:left="260" w:right="759" w:firstLine="765"/>
        <w:spacing w:after="0" w:line="318" w:lineRule="auto"/>
        <w:tabs>
          <w:tab w:leader="none" w:pos="1220" w:val="left"/>
        </w:tabs>
        <w:numPr>
          <w:ilvl w:val="1"/>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There are no strikes or other labor disputes against the Medline Parties or their subsidiaries pending or, to the knowledge of the Medline Parties, threatened, except as would not reasonably be expected, individually or in the aggregate, to have a Material Adverse Effect.</w:t>
      </w:r>
    </w:p>
    <w:p>
      <w:pPr>
        <w:spacing w:after="0" w:line="102" w:lineRule="exact"/>
        <w:rPr>
          <w:rFonts w:ascii="Times New Roman" w:cs="Times New Roman" w:eastAsia="Times New Roman" w:hAnsi="Times New Roman"/>
          <w:sz w:val="13"/>
          <w:szCs w:val="13"/>
          <w:color w:val="auto"/>
        </w:rPr>
      </w:pPr>
    </w:p>
    <w:p>
      <w:pPr>
        <w:ind w:left="260" w:right="299" w:firstLine="765"/>
        <w:spacing w:after="0" w:line="271" w:lineRule="auto"/>
        <w:tabs>
          <w:tab w:leader="none" w:pos="1220" w:val="left"/>
        </w:tabs>
        <w:numPr>
          <w:ilvl w:val="1"/>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otherwise disclosed in the Registration Statement, the Pricing Prospectus and the Prospectus or as would not, individually or in the aggregate, reasonably be expected to have a Material Adverse Effect, (i) the Medline Parties and their subsidiaries own or possess or have a valid license or other right to use all trademarks, service marks, trade names, patents, inventions, copyrights, know how (including trade secrets and other unpatented or unpatentable proprietary or confidential information, systems or procedures) and other worldwide intellectual property and proprietary rights (including all registrations and applications for registration of, and all goodwill associated with, any of the foregoing) (collectively, “Intellectual Property Rights”) necessary to conduct their respective businesses as described in the Registration Statement, the Pricing Prospectus and the Prospectus;</w:t>
      </w:r>
    </w:p>
    <w:p>
      <w:pPr>
        <w:ind w:left="260" w:right="339" w:firstLine="2"/>
        <w:spacing w:after="0" w:line="252" w:lineRule="auto"/>
        <w:tabs>
          <w:tab w:leader="none" w:pos="464"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of the Medline Parties nor any of their subsidiaries have received any unresolved written notice of any claim of infringement, misappropriation or other violation or conflict with the asserted Intellectual Property Rights of others; and (iii) neither of the Medline Parties nor any of their subsidiaries infringes, misappropriates or otherwise violates any Intellectual Property Rights of any third party.</w:t>
      </w:r>
    </w:p>
    <w:p>
      <w:pPr>
        <w:spacing w:after="0" w:line="143" w:lineRule="exact"/>
        <w:rPr>
          <w:rFonts w:ascii="Times New Roman" w:cs="Times New Roman" w:eastAsia="Times New Roman" w:hAnsi="Times New Roman"/>
          <w:sz w:val="14"/>
          <w:szCs w:val="14"/>
          <w:color w:val="auto"/>
        </w:rPr>
      </w:pPr>
    </w:p>
    <w:p>
      <w:pPr>
        <w:ind w:left="260" w:right="279" w:firstLine="765"/>
        <w:spacing w:after="0" w:line="272" w:lineRule="auto"/>
        <w:tabs>
          <w:tab w:leader="none" w:pos="1197" w:val="left"/>
        </w:tabs>
        <w:numPr>
          <w:ilvl w:val="1"/>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otherwise disclosed in the Registration Statement, the Pricing Prospectus and the Prospectus or as would not, individually or in the aggregate, reasonably be expected to have a Material Adverse Effect, (i) the Medline Parties and each of their subsidiaries have complied and are presently in compliance with all posted privacy policies, contractual obligations, applicable laws, statutes, judgments, orders, rules and regulations of any court or arbitrator or other governmental or regulatory authority, in each case, relating to the collection, use, transfer, storage, safeguarding, disposal and disclosure by the Medline Parties and each of their subsidiaries of personal, personally identifiable, household, sensitive, confidential or regulated data or information (“Data Security Obligations”, and such data and information, “Personal Data”); (ii) the Medline Parties and their subsidiaries have not received any written notification of, or written complaint regarding, and the Medline Parties and their subsidiaries are unaware of any other facts that, individually or in the aggregate, would reasonably indicate, non-compliance with any Data Security Obligation by the Medline Parties and their subsidiaries; and (iii) there is no action, suit or proceeding by or before any court or governmental authority pending or, to the knowledge of the Medline Parties, threatened alleging non-compliance with any Data Security Obligation by the Medline Parties or any of their subsidiaries.</w:t>
      </w:r>
    </w:p>
    <w:p>
      <w:pPr>
        <w:spacing w:after="0" w:line="135" w:lineRule="exact"/>
        <w:rPr>
          <w:rFonts w:ascii="Times New Roman" w:cs="Times New Roman" w:eastAsia="Times New Roman" w:hAnsi="Times New Roman"/>
          <w:sz w:val="13"/>
          <w:szCs w:val="13"/>
          <w:color w:val="auto"/>
        </w:rPr>
      </w:pPr>
    </w:p>
    <w:p>
      <w:pPr>
        <w:ind w:left="260" w:right="279" w:firstLine="765"/>
        <w:spacing w:after="0" w:line="251" w:lineRule="auto"/>
        <w:tabs>
          <w:tab w:leader="none" w:pos="1205" w:val="left"/>
        </w:tabs>
        <w:numPr>
          <w:ilvl w:val="1"/>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otherwise disclosed in the Registration Statement, the Pricing Prospectus and the Prospectus or as would not, individually or in the aggregate, reasonably be expected to have a Material Adverse Effect, (i) the Medline Parties and their subsidiaries’ respective information technology assets and equipment, computers, systems, networks, hardware, software, websites, applications, technology and databases used in connection with the operation of the Medline Parties’ and their subsidiaries’ respective businesses (“IT Systems”) are adequate for, and operate and perform as required in connection with the operation of the business of the Medline Parties and their subsidiaries as currently conducted and as described in the Registration Statement, the Pricing Prospectus and the Prospectus, free and clear of all bugs, errors, defects, Trojan horses, time bombs, malware and other corruptants; (ii) the Medline Parties and their subsidiaries have taken reasonable technical and organizational measures, and have used reasonable efforts to implement and maintain reasonable controls, policies, procedures and safeguards, to maintain and protect the integrity, operation, redundancy and security of their IT Systems and the data (including Personal Data) used in connection with their businesses; and (iii) there has been no breach, unauthorized distribution, unauthorized use, unauthorized access or misuse of or relating to any IT Systems or Personal Data used in connection with the businesses of the Medline Parties or their subsidiaries, nor any internal investigations relating to the same.</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39" w:right="1440" w:bottom="1440" w:gutter="0" w:footer="0" w:header="0"/>
        </w:sectPr>
      </w:pPr>
    </w:p>
    <w:bookmarkStart w:id="103" w:name="page104"/>
    <w:bookmarkEnd w:id="103"/>
    <w:p>
      <w:pPr>
        <w:ind w:left="260" w:right="299" w:firstLine="765"/>
        <w:spacing w:after="0" w:line="253" w:lineRule="auto"/>
        <w:tabs>
          <w:tab w:leader="none" w:pos="1189"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Except as otherwise disclosed in the Registration Statement, the Pricing Prospectus and the Prospectus, the Medline Parties and their subsidiaries possess such valid and current certificates, licenses, approvals, clearances, authorizations or permits issued by the appropriate state, federal or foreign regulatory or governmental agencies, including accrediting bodies (“Permits”), necessary to conduct their respective businesses as described in the Registration Statement, Pricing Prospectus and Prospectus, except as would not reasonably be expected to result in a Material Adverse Effect; and except as otherwise disclosed in the Registration Statement, Pricing Prospectus and Prospectus, the Medline Parties and their subsidiaries have not received any notice of proceedings relating to the revocation or adverse modification of, or non-compliance with, any such Permit, except for any such proceedings as would not, individually or in the aggregate reasonably be expected to result in a Material Adverse Effect.</w:t>
      </w:r>
    </w:p>
    <w:p>
      <w:pPr>
        <w:spacing w:after="0" w:line="142" w:lineRule="exact"/>
        <w:rPr>
          <w:rFonts w:ascii="Times New Roman" w:cs="Times New Roman" w:eastAsia="Times New Roman" w:hAnsi="Times New Roman"/>
          <w:sz w:val="14"/>
          <w:szCs w:val="14"/>
          <w:color w:val="auto"/>
        </w:rPr>
      </w:pPr>
    </w:p>
    <w:p>
      <w:pPr>
        <w:ind w:left="260" w:right="299" w:firstLine="765"/>
        <w:spacing w:after="0" w:line="255" w:lineRule="auto"/>
        <w:tabs>
          <w:tab w:leader="none" w:pos="122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Medline Parties and their subsidiaries have good and marketable title to all the properties and assets reflected as owned in the financial statements referred to in Section 1(i) hereof, in each case free and clear of any security interests, mortgages, liens, encumbrances, equities, claims and other defects except as otherwise disclosed in the Registration Statement, the Pricing Prospectus and the Prospectus, and hold any leased real or personal property under valid and enforceable leases, except, in each case, as would not, individually or in the aggregate, reasonably be expected to result in a Material Adverse Effect.</w:t>
      </w:r>
    </w:p>
    <w:p>
      <w:pPr>
        <w:spacing w:after="0" w:line="142" w:lineRule="exact"/>
        <w:rPr>
          <w:rFonts w:ascii="Times New Roman" w:cs="Times New Roman" w:eastAsia="Times New Roman" w:hAnsi="Times New Roman"/>
          <w:sz w:val="14"/>
          <w:szCs w:val="14"/>
          <w:color w:val="auto"/>
        </w:rPr>
      </w:pPr>
    </w:p>
    <w:p>
      <w:pPr>
        <w:ind w:left="260" w:right="299" w:firstLine="765"/>
        <w:spacing w:after="0" w:line="253" w:lineRule="auto"/>
        <w:tabs>
          <w:tab w:leader="none" w:pos="122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for any failures or exceptions that would not, individually or in the aggregate, reasonably be expected to result in a Material Adverse Effect or as otherwise disclosed in the Registration Statement, the Pricing Prospectus and the Prospectus, (x) the Medline Parties and each of their subsidiaries has timely filed (taking into account valid extensions) all U.S. federal, state, local and non-U.S. tax returns required to be filed by them and have paid all taxes (and any related interest, penalties and additions to tax) required to be paid by them (including in their capacity as a withholding agent) except for any taxes being contested in good faith by appropriate proceedings and for which adequate reserves have been provided in accordance with GAAP, and (y) to the knowledge of the Medline Parties, there is no proposed tax deficiency or assessment against the Medline Parties or any of their subsidiaries.</w:t>
      </w:r>
    </w:p>
    <w:p>
      <w:pPr>
        <w:spacing w:after="0" w:line="142" w:lineRule="exact"/>
        <w:rPr>
          <w:rFonts w:ascii="Times New Roman" w:cs="Times New Roman" w:eastAsia="Times New Roman" w:hAnsi="Times New Roman"/>
          <w:sz w:val="14"/>
          <w:szCs w:val="14"/>
          <w:color w:val="auto"/>
        </w:rPr>
      </w:pPr>
    </w:p>
    <w:p>
      <w:pPr>
        <w:ind w:left="260" w:right="539" w:firstLine="765"/>
        <w:spacing w:after="0" w:line="278" w:lineRule="auto"/>
        <w:tabs>
          <w:tab w:leader="none" w:pos="1251"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Medline Party is not required to register as an “investment company” within the meaning of the Investment Company Act of 1940, as amended.</w:t>
      </w:r>
    </w:p>
    <w:p>
      <w:pPr>
        <w:spacing w:after="0" w:line="126" w:lineRule="exact"/>
        <w:rPr>
          <w:rFonts w:ascii="Times New Roman" w:cs="Times New Roman" w:eastAsia="Times New Roman" w:hAnsi="Times New Roman"/>
          <w:sz w:val="14"/>
          <w:szCs w:val="14"/>
          <w:color w:val="auto"/>
        </w:rPr>
      </w:pPr>
    </w:p>
    <w:p>
      <w:pPr>
        <w:ind w:left="260" w:right="319" w:firstLine="765"/>
        <w:spacing w:after="0" w:line="263" w:lineRule="auto"/>
        <w:tabs>
          <w:tab w:leader="none" w:pos="122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of the Medline Parties nor any of their subsidiaries has taken or will take, directly or indirectly, any action designed to or that might be reasonably expected to cause or result in the unlawful stabilization or manipulation of the price of any security of the Company to facilitate the sale or resale of the Shares.</w:t>
      </w:r>
    </w:p>
    <w:p>
      <w:pPr>
        <w:spacing w:after="0" w:line="136" w:lineRule="exact"/>
        <w:rPr>
          <w:rFonts w:ascii="Times New Roman" w:cs="Times New Roman" w:eastAsia="Times New Roman" w:hAnsi="Times New Roman"/>
          <w:sz w:val="14"/>
          <w:szCs w:val="14"/>
          <w:color w:val="auto"/>
        </w:rPr>
      </w:pPr>
    </w:p>
    <w:p>
      <w:pPr>
        <w:ind w:left="260" w:right="359" w:firstLine="765"/>
        <w:spacing w:after="0" w:line="263" w:lineRule="auto"/>
        <w:tabs>
          <w:tab w:leader="none" w:pos="122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 in compliance with all provisions of the Sarbanes-Oxley Act of 2002 and all rules and regulations promulgated thereunder or implementing the provisions thereof that are then in effect and which the Company is required to comply with as of such times, including Section 402 related to loans as of the first public filing of the Registration Statement.</w:t>
      </w:r>
    </w:p>
    <w:p>
      <w:pPr>
        <w:spacing w:after="0" w:line="136" w:lineRule="exact"/>
        <w:rPr>
          <w:rFonts w:ascii="Times New Roman" w:cs="Times New Roman" w:eastAsia="Times New Roman" w:hAnsi="Times New Roman"/>
          <w:sz w:val="14"/>
          <w:szCs w:val="14"/>
          <w:color w:val="auto"/>
        </w:rPr>
      </w:pPr>
    </w:p>
    <w:p>
      <w:pPr>
        <w:ind w:left="260" w:right="419" w:firstLine="765"/>
        <w:spacing w:after="0" w:line="258" w:lineRule="auto"/>
        <w:tabs>
          <w:tab w:leader="none" w:pos="1212"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individually or in the aggregate, reasonably be expected to result in a Material Adverse Effect or as disclosed in the Registration Statement, Pricing Prospectus and Prospectus: (i) the Medline Parties and their subsidiaries are in compliance with all applicable federal, state, local and foreign laws and regulations relating to pollution or protection of the environment or, to the extent relating to exposure to hazardous or toxic substances or wastes, pollutants, contaminants, chemicals, petroleum and petroleum products,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39" w:right="1440" w:bottom="1440" w:gutter="0" w:footer="0" w:header="0"/>
        </w:sectPr>
      </w:pPr>
    </w:p>
    <w:bookmarkStart w:id="104" w:name="page105"/>
    <w:bookmarkEnd w:id="104"/>
    <w:p>
      <w:pPr>
        <w:ind w:left="260" w:right="299"/>
        <w:spacing w:after="0" w:line="25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asbestos and asbestos-containing materials, toxic mold, radioactive materials, polychlorinated biphenyls and per- and polyfluoroalkyl substances (collectively, “Materials of Environmental Concern”), human health, including, without limitation, laws and regulations relating to emissions, discharges, releases or threatened releases of Materials of Environmental Concern, or otherwise relating to the use, generation, treatment, storage, disposal, transport or handling of Materials of Environmental Concern (collectively, “Environmental Laws”); and (ii) none of the Medline Parties or any of their subsidiaries has received written notice of, and, to the knowledge of the Medline Parties, is not otherwise the subject of, any pending claim, investigation, or cause of action, alleging violation, or actual or potential liability of, the Medline Parties or any of their subsidiaries under, any Environmental Law (collectively, “Environmental Claims”), and, to the knowledge of the Medline Parties, no such Environmental Claims have been threatened against the Medline Parties or any of their subsidiaries or any person or entity whose liability for any Environmental Claim the Medline Parties or any of their subsidiaries have retained or assumed either contractually or by operation of law, and (iii) none of the Medline Parties or any of their subsidiaries has released Materials of Environmental Concern and, to the knowledge of the Medline Parties, no Materials of Environmental Concern are present on, at, under or from any property currently or formerly owned, operated or leased by the Medline Parties or any of their subsidiaries in a manner, location or quantity that could reasonably be expect to require the Medline Parties or any of their subsidiaries to conduct any investigation, cleanup or remedial action pursuant to any Environmental Law.</w:t>
      </w:r>
    </w:p>
    <w:p>
      <w:pPr>
        <w:spacing w:after="0" w:line="149" w:lineRule="exact"/>
        <w:rPr>
          <w:sz w:val="20"/>
          <w:szCs w:val="20"/>
          <w:color w:val="auto"/>
        </w:rPr>
      </w:pPr>
    </w:p>
    <w:p>
      <w:pPr>
        <w:ind w:left="260" w:right="279" w:firstLine="765"/>
        <w:spacing w:after="0" w:line="269" w:lineRule="auto"/>
        <w:tabs>
          <w:tab w:leader="none" w:pos="1274" w:val="left"/>
        </w:tabs>
        <w:numPr>
          <w:ilvl w:val="1"/>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would not, individually or in the aggregate, reasonably be expected to have a Material Adverse Effect, none of the following events has occurred or exists: (a) a “reportable event” as defined under Section 4043 of the United States Employee Retirement Income Security Act of 1974, as amended, and the regulations and published interpretations thereunder (“ERISA”) with respect to a Plan (as defined below), other than an event for which the 30-day notice requirement has been waived by the Pension Benefit Guaranty Corporation (“PBGC”); (b) a withdrawal from a Plan subject to Section 4063 of ERISA during a plan year in which it was a substantial employer (as defined in Section 4001(a)(2) of ERISA) or a cessation of operations that is treated as such a withdrawal under Section 4062(e) of ERISA; (c) a complete or partial withdrawal from a Plan; (d) the filing by the PBGC of a notice of intent to terminate any Plan, the treatment of a Plan amendment as a termination under Sections 4041 or 4041A of ERISA, respectively, or the commencement of proceedings by the PBGC to terminate a Plan; (e) appointment of a trustee to administer any Plan; (f) with respect to a Plan, the failure to satisfy the minimum funding standard of Section 412 of the Internal Revenue Code of 1986, as amended (the “Code,” which term, as used herein, includes the regulations and published interpretations thereunder) or Section 302, 303 or 304 of ERISA, whether or not waived;</w:t>
      </w:r>
    </w:p>
    <w:p>
      <w:pPr>
        <w:spacing w:after="0" w:line="3" w:lineRule="exact"/>
        <w:rPr>
          <w:rFonts w:ascii="Times New Roman" w:cs="Times New Roman" w:eastAsia="Times New Roman" w:hAnsi="Times New Roman"/>
          <w:sz w:val="13"/>
          <w:szCs w:val="13"/>
          <w:color w:val="auto"/>
        </w:rPr>
      </w:pPr>
    </w:p>
    <w:p>
      <w:pPr>
        <w:ind w:left="260" w:right="359" w:firstLine="2"/>
        <w:spacing w:after="0" w:line="267" w:lineRule="auto"/>
        <w:tabs>
          <w:tab w:leader="none" w:pos="456"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imposition of any liability under Title IV of ERISA, other than for contributions to a Plan in the ordinary course and PBGC premiums due but not delinquent under Section 4007 of ERISA; (h) an audit or investigation by the Internal Revenue Service, the U.S. Department of Labor or the PBGC with respect to any Plan; or (i) any violation of applicable qualification standards under the Code, with respect to any Plan. Except as would not, individually or in the aggregate, reasonably be expected to have a Material Adverse Effect, none of the following events has occurred or is reasonably likely to occur: (a) an increase in the aggregate amount of contributions required to be made to all Plans in the current fiscal year of the Medline Parties and their subsidiaries compared to the amount of such contributions made in the most recently completed fiscal year of the Medline Parties and their subsidiaries; (b) an increase in the “accumulated post-retirement benefit obligations” (within the meaning of Accounting Standards Codification Topic 715 or subsequent recodification thereof, as applicable) of the Medline Parties and their subsidiaries compared to the amount of such obligations in the most recently completed fiscal year of the Medline Parties and their subsidiaries; (c) any event or condition giving rise to any liability under Title IV of</w:t>
      </w:r>
    </w:p>
    <w:p>
      <w:pPr>
        <w:ind w:left="26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ERISA</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39" w:right="1440" w:bottom="1440" w:gutter="0" w:footer="0" w:header="0"/>
        </w:sectPr>
      </w:pPr>
    </w:p>
    <w:bookmarkStart w:id="105" w:name="page106"/>
    <w:bookmarkEnd w:id="105"/>
    <w:p>
      <w:pPr>
        <w:ind w:left="260" w:right="339"/>
        <w:spacing w:after="0" w:line="26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with respect to the termination of, or withdrawal from, any Plan; or (d) the filing of a claim by one or more employees or former employees of the Medline Parties and their subsidiaries related to their employment. For purposes of this paragraph, the term “Plan” means a plan (within the meaning of Section 3(3) of ERISA) subject to Title IV of ERISA with respect to which the Medline Parties or any of their subsidiaries has any liability.</w:t>
      </w:r>
    </w:p>
    <w:p>
      <w:pPr>
        <w:spacing w:after="0" w:line="136" w:lineRule="exact"/>
        <w:rPr>
          <w:sz w:val="20"/>
          <w:szCs w:val="20"/>
          <w:color w:val="auto"/>
        </w:rPr>
      </w:pPr>
    </w:p>
    <w:p>
      <w:pPr>
        <w:ind w:left="260" w:right="279" w:firstLine="765"/>
        <w:spacing w:after="0" w:line="271" w:lineRule="auto"/>
        <w:tabs>
          <w:tab w:leader="none" w:pos="1289" w:val="left"/>
        </w:tabs>
        <w:numPr>
          <w:ilvl w:val="1"/>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Medline Party maintains a system of internal control over financial reporting (as such term is defined in Rule 13a-15(f) under the Exchange Act) that is sufficient to provide reasonable assurance that (A) transactions are executed in accordance with management’s general or specific authorization, (B) transactions are recorded as necessary to permit preparation of financial statements in conformity with GAAP and to maintain accountability for assets, (C) access to assets is permitted only in accordance with management’s general or specific authorization, (D) the recorded accountability for assets is compared with the existing assets at reasonable intervals and appropriate action is taken with respect to any differences and</w:t>
      </w:r>
    </w:p>
    <w:p>
      <w:pPr>
        <w:spacing w:after="0" w:line="2" w:lineRule="exact"/>
        <w:rPr>
          <w:rFonts w:ascii="Times New Roman" w:cs="Times New Roman" w:eastAsia="Times New Roman" w:hAnsi="Times New Roman"/>
          <w:sz w:val="13"/>
          <w:szCs w:val="13"/>
          <w:color w:val="auto"/>
        </w:rPr>
      </w:pPr>
    </w:p>
    <w:p>
      <w:pPr>
        <w:ind w:left="260" w:right="359" w:firstLine="2"/>
        <w:spacing w:after="0" w:line="250" w:lineRule="auto"/>
        <w:tabs>
          <w:tab w:leader="none" w:pos="472"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interactive data in eXtensible Business Reporting Language included or incorporated by reference in the Registration Statement, the Prospectus and the Pricing Disclosure Package fairly presents the information called for in all material respects and is prepared in accordance with the Commission’s rules and guidelines applicable thereto; and the Medline Parties’ internal control over financial reporting is effective and neither Medline Party is aware of any material weaknesses in the internal controls over financial reporting of the Medline Parties.</w:t>
      </w:r>
    </w:p>
    <w:p>
      <w:pPr>
        <w:spacing w:after="0" w:line="145" w:lineRule="exact"/>
        <w:rPr>
          <w:rFonts w:ascii="Times New Roman" w:cs="Times New Roman" w:eastAsia="Times New Roman" w:hAnsi="Times New Roman"/>
          <w:sz w:val="14"/>
          <w:szCs w:val="14"/>
          <w:color w:val="auto"/>
        </w:rPr>
      </w:pPr>
    </w:p>
    <w:p>
      <w:pPr>
        <w:ind w:left="260" w:right="399" w:firstLine="765"/>
        <w:spacing w:after="0" w:line="263" w:lineRule="auto"/>
        <w:tabs>
          <w:tab w:leader="none" w:pos="1274" w:val="left"/>
        </w:tabs>
        <w:numPr>
          <w:ilvl w:val="1"/>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w:t>
      </w:r>
    </w:p>
    <w:p>
      <w:pPr>
        <w:spacing w:after="0" w:line="136" w:lineRule="exact"/>
        <w:rPr>
          <w:rFonts w:ascii="Times New Roman" w:cs="Times New Roman" w:eastAsia="Times New Roman" w:hAnsi="Times New Roman"/>
          <w:sz w:val="14"/>
          <w:szCs w:val="14"/>
          <w:color w:val="auto"/>
        </w:rPr>
      </w:pPr>
    </w:p>
    <w:p>
      <w:pPr>
        <w:ind w:left="260" w:right="419" w:firstLine="765"/>
        <w:spacing w:after="0" w:line="263" w:lineRule="auto"/>
        <w:tabs>
          <w:tab w:leader="none" w:pos="1289" w:val="left"/>
        </w:tabs>
        <w:numPr>
          <w:ilvl w:val="1"/>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the date of the latest audited financial statements of Medline Holdings included or incorporated by reference in the Pricing Prospectus, there has been no change in either Medline Party’s internal control over financial reporting that has materially and adversely affected, or is reasonably likely to materially and adversely affect, such Medline Party’s internal control over financial reporting.</w:t>
      </w:r>
    </w:p>
    <w:p>
      <w:pPr>
        <w:spacing w:after="0" w:line="136" w:lineRule="exact"/>
        <w:rPr>
          <w:rFonts w:ascii="Times New Roman" w:cs="Times New Roman" w:eastAsia="Times New Roman" w:hAnsi="Times New Roman"/>
          <w:sz w:val="14"/>
          <w:szCs w:val="14"/>
          <w:color w:val="auto"/>
        </w:rPr>
      </w:pPr>
    </w:p>
    <w:p>
      <w:pPr>
        <w:ind w:left="260" w:right="399" w:firstLine="765"/>
        <w:spacing w:after="0" w:line="255" w:lineRule="auto"/>
        <w:tabs>
          <w:tab w:leader="none" w:pos="1274" w:val="left"/>
        </w:tabs>
        <w:numPr>
          <w:ilvl w:val="1"/>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maintains disclosure controls and procedures (as such term is defined in Rule 13a-15(e) under the Exchange Act) that comply with the requirements of the Exchange Act; such disclosure controls and procedures have been designed to ensure that material information relating to the Medline Parties and their subsidiaries is made known to the Company’s principal executive officer and principal financial officer by others within those entities; and such disclosure controls and procedures are reasonably effective to perform the functions for which they were established subject to the limitations of any such controls systems.</w:t>
      </w:r>
    </w:p>
    <w:p>
      <w:pPr>
        <w:spacing w:after="0" w:line="142" w:lineRule="exact"/>
        <w:rPr>
          <w:rFonts w:ascii="Times New Roman" w:cs="Times New Roman" w:eastAsia="Times New Roman" w:hAnsi="Times New Roman"/>
          <w:sz w:val="14"/>
          <w:szCs w:val="14"/>
          <w:color w:val="auto"/>
        </w:rPr>
      </w:pPr>
    </w:p>
    <w:p>
      <w:pPr>
        <w:ind w:left="260" w:right="299" w:firstLine="765"/>
        <w:spacing w:after="0" w:line="251" w:lineRule="auto"/>
        <w:tabs>
          <w:tab w:leader="none" w:pos="1240" w:val="left"/>
        </w:tabs>
        <w:numPr>
          <w:ilvl w:val="1"/>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past five years, neither of the Medline Parties nor any of their subsidiaries, nor any of their respective directors or officers, nor to the knowledge of the Medline Parties, any employees or any controlled affiliate or third party acting on behalf of the Medline Parties or any of their subsidiaries (each in their capacity as such) has (i) made, offered, promised, authorized, or solicited any unlawful contribution, gift, entertainment or other unlawful expense (or taken any act in furtherance thereof); or (ii) made, offered, promised, authorized, or solicited, directly or indirectly, the payment of money or anything of value to or from any person, in each case, in violation of, any provision of the Foreign Corrupt Practices Act of 1977, as amended, or the rules and regulations thereunder, the Bribery Act 2010 of the United Kingdom or any other applicable anti-corruption, anti-bribery or related law, statute or regulation (collectively, “Anti-Corruption Laws”); for the past five years, the Medline Parties and their subsidiaries have conducted their businesses in compliance with Anti-Corruption Laws and maintain policies and procedures reasonably designed to promote and achieve compliance with such laws and with the representations and warranties contained herein.</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39" w:right="1440" w:bottom="1440" w:gutter="0" w:footer="0" w:header="0"/>
        </w:sectPr>
      </w:pPr>
    </w:p>
    <w:bookmarkStart w:id="106" w:name="page107"/>
    <w:bookmarkEnd w:id="106"/>
    <w:p>
      <w:pPr>
        <w:ind w:left="260" w:right="279" w:firstLine="765"/>
        <w:spacing w:after="0" w:line="253" w:lineRule="auto"/>
        <w:tabs>
          <w:tab w:leader="none" w:pos="1289"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2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The operations of the Medline Parties and their subsidiaries are and have been conducted at all times in compliance with the requirements of applicable anti-money laundering laws, including, but not limited to, the Bank Secrecy Act of 1970, as amended by the USA PATRIOT ACT of 2001, and the rules and regulations promulgated thereunder, and the anti-money laundering laws of the various jurisdictions in which the Medline Parties and their subsidiaries conduct business, the rules and regulations thereunder and any related or similar rules, regulation or guidelines issued, administered or enforced by any governmental agency (collectively, the “Money Laundering Laws”) and no action, suit or proceeding by or before any court or governmental agency, authority or body or any arbitrator involving the Medline Parties or any of their subsidiaries with respect to the Money Laundering Laws is pending or, to the knowledge of the Medline Parties, threatened.</w:t>
      </w:r>
    </w:p>
    <w:p>
      <w:pPr>
        <w:spacing w:after="0" w:line="142" w:lineRule="exact"/>
        <w:rPr>
          <w:rFonts w:ascii="Times New Roman" w:cs="Times New Roman" w:eastAsia="Times New Roman" w:hAnsi="Times New Roman"/>
          <w:sz w:val="14"/>
          <w:szCs w:val="14"/>
          <w:color w:val="auto"/>
        </w:rPr>
      </w:pPr>
    </w:p>
    <w:p>
      <w:pPr>
        <w:ind w:left="260" w:right="299" w:firstLine="765"/>
        <w:spacing w:after="0" w:line="250" w:lineRule="auto"/>
        <w:tabs>
          <w:tab w:leader="none" w:pos="1289"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of the Medline Parties nor any of their subsidiaries, directors or officers nor, to the knowledge of the Medline Parties, any employees or any controlled affiliate or agent acting for or on behalf of the Medline Parties or any of their subsidiaries, is (i) currently the subject or the target of any sanctions administered or enforced by the U.S. Government, including, without limitation, the Office of Foreign Assets Control of the U.S. Department of the Treasury (“OFAC”), or the U.S. Department of State, and including, without limitation, the designation as a “specially designated national” or “blocked person,” the European Union, the United Kingdom, the United Nations Security Council, or other relevant sanctions authority of a jurisdiction where the Medline Parties operate (collectively, “Sanctions”), or (ii) located, organized, or resident in a country or territory that is the subject or target of Sanctions (at the time of this Agreement, Cuba, Iran, North Korea, the Crimea Region of Ukraine, the non-government controlled areas of the Zaporizhzhia and Kherson Regions of Ukraine, any other covered region of Ukraine identified pursuant to Executive Order 14065, the so-called Donetsk People’s Republic, and the so-called Luhansk People’s Republic and, prior to July 1, 2025, Syria, collectively and individually each a “Sanctioned Jurisdiction”); neither of the Medline Parties nor their subsidiaries are engaged in, or have, since April 24, 2019, engaged in, any dealings or transactions with or involving any individual or entity that was at the time of such dealing or transaction, the subject or target of Sanctions or in or with any Sanctioned Jurisdiction in each case in violation of applicable Sanctions; the Medline Parties and their subsidiaries have instituted, and maintain, policies and procedures designed to promote and achieve continued compliance with Sanctions.</w:t>
      </w:r>
    </w:p>
    <w:p>
      <w:pPr>
        <w:spacing w:after="0" w:line="149" w:lineRule="exact"/>
        <w:rPr>
          <w:rFonts w:ascii="Times New Roman" w:cs="Times New Roman" w:eastAsia="Times New Roman" w:hAnsi="Times New Roman"/>
          <w:sz w:val="14"/>
          <w:szCs w:val="14"/>
          <w:color w:val="auto"/>
        </w:rPr>
      </w:pPr>
    </w:p>
    <w:p>
      <w:pPr>
        <w:ind w:left="260" w:right="679" w:firstLine="765"/>
        <w:spacing w:after="0" w:line="263" w:lineRule="auto"/>
        <w:tabs>
          <w:tab w:leader="none" w:pos="1228"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relationship, direct or indirect, exists between or among the Medline Parties and their subsidiaries, on the one hand, and the directors, officers, stockholders, customers or suppliers of the Medline Parties and their subsidiaries, on the other, that is required by the Act to be described in the Registration Statement and the Prospectus and that is not so described in such documents.</w:t>
      </w:r>
    </w:p>
    <w:p>
      <w:pPr>
        <w:spacing w:after="0" w:line="136" w:lineRule="exact"/>
        <w:rPr>
          <w:rFonts w:ascii="Times New Roman" w:cs="Times New Roman" w:eastAsia="Times New Roman" w:hAnsi="Times New Roman"/>
          <w:sz w:val="14"/>
          <w:szCs w:val="14"/>
          <w:color w:val="auto"/>
        </w:rPr>
      </w:pPr>
    </w:p>
    <w:p>
      <w:pPr>
        <w:ind w:left="1220" w:hanging="195"/>
        <w:spacing w:after="0"/>
        <w:tabs>
          <w:tab w:leader="none" w:pos="122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Health Care Matters:</w:t>
      </w:r>
    </w:p>
    <w:p>
      <w:pPr>
        <w:spacing w:after="0" w:line="98" w:lineRule="exact"/>
        <w:rPr>
          <w:rFonts w:ascii="Times New Roman" w:cs="Times New Roman" w:eastAsia="Times New Roman" w:hAnsi="Times New Roman"/>
          <w:sz w:val="14"/>
          <w:szCs w:val="14"/>
          <w:color w:val="auto"/>
        </w:rPr>
      </w:pPr>
    </w:p>
    <w:p>
      <w:pPr>
        <w:ind w:left="1780" w:right="399" w:hanging="416"/>
        <w:spacing w:after="0" w:line="279" w:lineRule="auto"/>
        <w:tabs>
          <w:tab w:leader="none" w:pos="1780" w:val="left"/>
        </w:tabs>
        <w:numPr>
          <w:ilvl w:val="1"/>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otherwise disclosed in the Registration Statement, Pricing Prospectus or Prospectus or as would not, individually or in the aggregate, reasonably be expected to have a Material Adverse Effect, for the past three years, the Medline Parties and their subsidiaries (i) have been in compliance with all Health Care Laws (as defined below) applicable to their business or operations and (ii) have not received any subpoena, or any written civil investigative demand, notice of investigation or equivalent written notice from any governmental authority of any violations of such Health Care Laws.</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39" w:right="1440" w:bottom="1440" w:gutter="0" w:footer="0" w:header="0"/>
        </w:sectPr>
      </w:pPr>
    </w:p>
    <w:bookmarkStart w:id="107" w:name="page108"/>
    <w:bookmarkEnd w:id="107"/>
    <w:p>
      <w:pPr>
        <w:ind w:left="1780" w:right="279" w:hanging="416"/>
        <w:spacing w:after="0" w:line="254" w:lineRule="auto"/>
        <w:tabs>
          <w:tab w:leader="none" w:pos="1780" w:val="left"/>
        </w:tabs>
        <w:numPr>
          <w:ilvl w:val="1"/>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2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Except as otherwise disclosed in the Registration Statement, Pricing Prospectus or Prospectus, none of the Medline Parties, their subsidiaries or any of their respective officers or directors: (i) is currently or has been excluded, debarred, suspended or otherwise ineligible to participate in Medicare, Medicaid or TRICARE, (ii) has been convicted of a criminal offense that falls within the scope of 42 U.S.C. § 1320a-7(a), or (iii) is or has been subject to a corporate integrity agreement with the United States Department of Health and Human Services Office of the Inspector General or a deferred or non-prosecution agreement with any other governmental authority.</w:t>
      </w:r>
    </w:p>
    <w:p>
      <w:pPr>
        <w:spacing w:after="0" w:line="69" w:lineRule="exact"/>
        <w:rPr>
          <w:rFonts w:ascii="Times New Roman" w:cs="Times New Roman" w:eastAsia="Times New Roman" w:hAnsi="Times New Roman"/>
          <w:sz w:val="14"/>
          <w:szCs w:val="14"/>
          <w:color w:val="auto"/>
        </w:rPr>
      </w:pPr>
    </w:p>
    <w:p>
      <w:pPr>
        <w:ind w:left="1780" w:right="399" w:hanging="416"/>
        <w:spacing w:after="0" w:line="278" w:lineRule="auto"/>
        <w:tabs>
          <w:tab w:leader="none" w:pos="1780" w:val="left"/>
        </w:tabs>
        <w:numPr>
          <w:ilvl w:val="1"/>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Section 1(jj) constitutes the exclusive representations and warranties of the Medline Parties and their subsidiaries with respect to the subject matters set forth in this Section 1(jj).</w:t>
      </w:r>
    </w:p>
    <w:p>
      <w:pPr>
        <w:spacing w:after="0" w:line="53" w:lineRule="exact"/>
        <w:rPr>
          <w:rFonts w:ascii="Times New Roman" w:cs="Times New Roman" w:eastAsia="Times New Roman" w:hAnsi="Times New Roman"/>
          <w:sz w:val="14"/>
          <w:szCs w:val="14"/>
          <w:color w:val="auto"/>
        </w:rPr>
      </w:pPr>
    </w:p>
    <w:p>
      <w:pPr>
        <w:ind w:left="1780" w:hanging="416"/>
        <w:spacing w:after="0"/>
        <w:tabs>
          <w:tab w:leader="none" w:pos="1780" w:val="left"/>
        </w:tabs>
        <w:numPr>
          <w:ilvl w:val="1"/>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capitalized terms used in this Section 1(jj) shall have the meanings set forth below:</w:t>
      </w:r>
    </w:p>
    <w:p>
      <w:pPr>
        <w:spacing w:after="0" w:line="98" w:lineRule="exact"/>
        <w:rPr>
          <w:rFonts w:ascii="Times New Roman" w:cs="Times New Roman" w:eastAsia="Times New Roman" w:hAnsi="Times New Roman"/>
          <w:sz w:val="14"/>
          <w:szCs w:val="14"/>
          <w:color w:val="auto"/>
        </w:rPr>
      </w:pPr>
    </w:p>
    <w:p>
      <w:pPr>
        <w:ind w:left="2120" w:right="299" w:hanging="340"/>
        <w:spacing w:after="0" w:line="251" w:lineRule="auto"/>
        <w:tabs>
          <w:tab w:leader="none" w:pos="2120" w:val="left"/>
        </w:tabs>
        <w:numPr>
          <w:ilvl w:val="2"/>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“Health Care Laws” means (a) the federal Anti-Kickback Statute (42 U.S.C. § 1320a-7b(b)), the Stark Law (42 U.S.C. §§ 1395nn), the civil False Claims Act (31 U.S.C. § 3729 et seq.), the Civil Monetary Penalties Law (42 U.S.C. § 1320a-7a), the exclusion laws (42 U.S.C. § 1320a-7), the Physician Payment Sunshine Act (42 U.S.C. § 1320a-7h), the criminal False Claims Law (42 U.S.C. § 1320a-7b(a)), Titles XVIII and XIX of the Social Security Act, commonly referred to as Medicare and Medicaid, TRICARE, 10 U.S.C. § 1071; (b) the Federal Food, Drug, and Cosmetic Act of 1938, as amended (21 U.S.C. 301 et seq.); (c) the laws of any health care governmental authority which regulates kickbacks, patient reimbursement, or Medicare, Medicaid or TRICARE reimbursement; (d) laws regarding hiring of employees excluded from Medicare, Medicaid or TRICARE; (e) all regulations promulgated pursuant to such Health Care Laws; and (f) applicable state and foreign counterparts of the aforementioned Health Care Laws, each as amended, and the regulations promulgated pursuant to such laws.</w:t>
      </w:r>
    </w:p>
    <w:p>
      <w:pPr>
        <w:spacing w:after="0" w:line="146" w:lineRule="exact"/>
        <w:rPr>
          <w:rFonts w:ascii="Times New Roman" w:cs="Times New Roman" w:eastAsia="Times New Roman" w:hAnsi="Times New Roman"/>
          <w:sz w:val="14"/>
          <w:szCs w:val="14"/>
          <w:color w:val="auto"/>
        </w:rPr>
      </w:pPr>
    </w:p>
    <w:p>
      <w:pPr>
        <w:ind w:left="260" w:right="439" w:firstLine="765"/>
        <w:spacing w:after="0" w:line="263" w:lineRule="auto"/>
        <w:tabs>
          <w:tab w:leader="none" w:pos="1289"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described in the Registration Statement, the Pricing Prospectus and the Prospectus, no person has the right to require a Medline Party or any of their subsidiaries to register any securities for sale under the Act by reason of the filing of the Registration Statement with the Commission or the sale of the Shares by the Selling Stockholders.</w:t>
      </w:r>
    </w:p>
    <w:p>
      <w:pPr>
        <w:spacing w:after="0" w:line="136" w:lineRule="exact"/>
        <w:rPr>
          <w:rFonts w:ascii="Times New Roman" w:cs="Times New Roman" w:eastAsia="Times New Roman" w:hAnsi="Times New Roman"/>
          <w:sz w:val="14"/>
          <w:szCs w:val="14"/>
          <w:color w:val="auto"/>
        </w:rPr>
      </w:pPr>
    </w:p>
    <w:p>
      <w:pPr>
        <w:ind w:left="260" w:right="739" w:firstLine="765"/>
        <w:spacing w:after="0" w:line="278" w:lineRule="auto"/>
        <w:tabs>
          <w:tab w:leader="none" w:pos="1228"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conforms in all material respects to the description thereof contained in the Registration Statement, the Pricing Prospectus and the Prospectus.</w:t>
      </w:r>
    </w:p>
    <w:p>
      <w:pPr>
        <w:spacing w:after="0" w:line="126" w:lineRule="exact"/>
        <w:rPr>
          <w:rFonts w:ascii="Times New Roman" w:cs="Times New Roman" w:eastAsia="Times New Roman" w:hAnsi="Times New Roman"/>
          <w:sz w:val="14"/>
          <w:szCs w:val="14"/>
          <w:color w:val="auto"/>
        </w:rPr>
      </w:pPr>
    </w:p>
    <w:p>
      <w:pPr>
        <w:ind w:left="260" w:right="279" w:firstLine="765"/>
        <w:spacing w:after="0" w:line="255" w:lineRule="auto"/>
        <w:tabs>
          <w:tab w:leader="none" w:pos="1366"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statements included or incorporated by reference in the Registration Statement, the Pricing Prospectus and the Prospectus under the caption “Description of Capital Stock,” insofar as they purport to constitute a summary of the terms of the Common Stock, and under the captions “Business—Government Regulation,” “Certain Relationships and Related Person Transactions” and “Certain U.S. Federal Income Tax Consequences to Non-U.S. Holders,” insofar as they purport to describe the provisions of the laws and documents referred to therein, are accurate, complete and fair in all material respects.</w:t>
      </w:r>
    </w:p>
    <w:p>
      <w:pPr>
        <w:spacing w:after="0" w:line="142" w:lineRule="exact"/>
        <w:rPr>
          <w:rFonts w:ascii="Times New Roman" w:cs="Times New Roman" w:eastAsia="Times New Roman" w:hAnsi="Times New Roman"/>
          <w:sz w:val="14"/>
          <w:szCs w:val="14"/>
          <w:color w:val="auto"/>
        </w:rPr>
      </w:pPr>
    </w:p>
    <w:p>
      <w:pPr>
        <w:ind w:left="260" w:right="279" w:firstLine="765"/>
        <w:spacing w:after="0" w:line="263" w:lineRule="auto"/>
        <w:tabs>
          <w:tab w:leader="none" w:pos="1289"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time of filing the Initial Registration Statement and any post-effective amendment thereto, at the earliest time thereafter that the Company or any offering participant made a bona fide offer (within the meaning of Rule 164(h)(2) under the Act) of the Shares, and at the date hereof, the Company was not and is not an “ineligible issuer,” as defined under Rule 405 under the Act.</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39" w:right="1440" w:bottom="1440" w:gutter="0" w:footer="0" w:header="0"/>
        </w:sectPr>
      </w:pPr>
    </w:p>
    <w:bookmarkStart w:id="108" w:name="page109"/>
    <w:bookmarkEnd w:id="108"/>
    <w:p>
      <w:pPr>
        <w:ind w:left="260" w:right="359" w:firstLine="765"/>
        <w:spacing w:after="0" w:line="278" w:lineRule="auto"/>
        <w:tabs>
          <w:tab w:leader="none" w:pos="1289"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The Medline Parties and their subsidiaries, taken as a whole, are insured against such losses and risks and in such amounts as in their reasonable judgment are prudent and customary in the businesses in which they are engaged or as required by law.</w:t>
      </w:r>
    </w:p>
    <w:p>
      <w:pPr>
        <w:spacing w:after="0" w:line="126" w:lineRule="exact"/>
        <w:rPr>
          <w:rFonts w:ascii="Times New Roman" w:cs="Times New Roman" w:eastAsia="Times New Roman" w:hAnsi="Times New Roman"/>
          <w:sz w:val="14"/>
          <w:szCs w:val="14"/>
          <w:color w:val="auto"/>
        </w:rPr>
      </w:pPr>
    </w:p>
    <w:p>
      <w:pPr>
        <w:ind w:left="1300" w:hanging="275"/>
        <w:spacing w:after="0"/>
        <w:tabs>
          <w:tab w:leader="none" w:pos="130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Medline Parties nor any of their subsidiaries are a “covered foreign person”, as that term is defined in 31 C.F.R. §</w:t>
      </w:r>
    </w:p>
    <w:p>
      <w:pPr>
        <w:spacing w:after="0" w:line="21" w:lineRule="exact"/>
        <w:rPr>
          <w:sz w:val="20"/>
          <w:szCs w:val="20"/>
          <w:color w:val="auto"/>
        </w:rPr>
      </w:pPr>
    </w:p>
    <w:p>
      <w:pPr>
        <w:ind w:left="260" w:right="559"/>
        <w:spacing w:after="0" w:line="252" w:lineRule="auto"/>
        <w:rPr>
          <w:sz w:val="20"/>
          <w:szCs w:val="20"/>
          <w:color w:val="auto"/>
        </w:rPr>
      </w:pPr>
      <w:r>
        <w:rPr>
          <w:rFonts w:ascii="Times New Roman" w:cs="Times New Roman" w:eastAsia="Times New Roman" w:hAnsi="Times New Roman"/>
          <w:sz w:val="14"/>
          <w:szCs w:val="14"/>
          <w:color w:val="auto"/>
        </w:rPr>
        <w:t>850.209. Neither the Medline Parties nor any of their subsidiaries currently engage, or have plans to engage, directly or indirectly, in a “covered activity”, as that term is defined in 31 C.F.R. § 850.208 (“Covered Activity”). Neither Medline Party has any joint ventures that engage in or plan to engage in any Covered Activity.</w:t>
      </w:r>
    </w:p>
    <w:p>
      <w:pPr>
        <w:spacing w:after="0" w:line="143" w:lineRule="exact"/>
        <w:rPr>
          <w:sz w:val="20"/>
          <w:szCs w:val="20"/>
          <w:color w:val="auto"/>
        </w:rPr>
      </w:pPr>
    </w:p>
    <w:p>
      <w:pPr>
        <w:ind w:left="740" w:hanging="139"/>
        <w:spacing w:after="0"/>
        <w:tabs>
          <w:tab w:leader="none" w:pos="74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Selling Stockholders severally represents and warrants to, and agrees with, each of the Underwriters and the Medline Parties that:</w:t>
      </w:r>
    </w:p>
    <w:p>
      <w:pPr>
        <w:spacing w:after="0" w:line="88" w:lineRule="exact"/>
        <w:rPr>
          <w:rFonts w:ascii="Times New Roman" w:cs="Times New Roman" w:eastAsia="Times New Roman" w:hAnsi="Times New Roman"/>
          <w:sz w:val="14"/>
          <w:szCs w:val="14"/>
          <w:color w:val="auto"/>
        </w:rPr>
      </w:pPr>
    </w:p>
    <w:p>
      <w:pPr>
        <w:ind w:left="260" w:right="339" w:firstLine="765"/>
        <w:spacing w:after="0" w:line="252" w:lineRule="auto"/>
        <w:tabs>
          <w:tab w:leader="none" w:pos="1212" w:val="left"/>
        </w:tabs>
        <w:numPr>
          <w:ilvl w:val="1"/>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(i) as will have been obtained on or prior to the Time of Delivery for the registration under the Act of the Shares; (ii) as may be required under foreign or state securities (or Blue Sky) laws or by FINRA or by Nasdaq Global Select Market ( “Nasdaq”) in connection with the purchase and distribution of the Shares by the Underwriters; and (iii) as would not impair in any material respect the ability of such Selling Stockholder to consummate its obligations hereunder, all consents, approvals, authorizations and orders necessary for the execution and delivery by such Selling Stockholder of this Agreement and for the sale and delivery of the Shares to be sold by such Selling Stockholder hereunder, have been obtained or will be obtained on or prior to the Time of Delivery; and such Selling Stockholder has full right, power and authority to enter into this Agreement and has or will have at the Time of Delivery, after giving effect to the Unit Exchange, full right, power and authority to sell, assign, transfer and deliver the Shares to be sold by such Selling Stockholder hereunder.</w:t>
      </w:r>
    </w:p>
    <w:p>
      <w:pPr>
        <w:spacing w:after="0" w:line="145" w:lineRule="exact"/>
        <w:rPr>
          <w:rFonts w:ascii="Times New Roman" w:cs="Times New Roman" w:eastAsia="Times New Roman" w:hAnsi="Times New Roman"/>
          <w:sz w:val="14"/>
          <w:szCs w:val="14"/>
          <w:color w:val="auto"/>
        </w:rPr>
      </w:pPr>
    </w:p>
    <w:p>
      <w:pPr>
        <w:ind w:left="260" w:right="359" w:firstLine="765"/>
        <w:spacing w:after="0" w:line="251" w:lineRule="auto"/>
        <w:tabs>
          <w:tab w:leader="none" w:pos="1220" w:val="left"/>
        </w:tabs>
        <w:numPr>
          <w:ilvl w:val="1"/>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sale of the Shares to be sold by such Selling Stockholder hereunder and the compliance by such Selling Stockholder with this Agreement and the consummation of the transactions contemplated herein and in the Pricing Disclosure Package will not (i) conflict with or result in a breach or violation of any of the terms or provisions of, or constitute a default under, any statute, indenture, mortgage, deed of trust, loan agreement or other agreement or instrument to which such Selling Stockholder is a party or by which such Selling Stockholder is bound or to which any of the property or assets of such Selling Stockholder is subject, (ii) result in any violation of the provisions of the certificate of incorporation or by-laws (or similar applicable organizational document) of such Selling Stockholder or (iii) result in any violation of any statute or any order, rule or regulation of any court or governmental agency or body having jurisdiction over such Selling Stockholder or any property or assets of such Selling Stockholder; except in the case of (i) and (iii), as would not, individually or in the aggregate, reasonably be expected to materially impact such Selling Stockholder’s ability to perform its obligations under this Agreement.</w:t>
      </w:r>
    </w:p>
    <w:p>
      <w:pPr>
        <w:spacing w:after="0" w:line="148" w:lineRule="exact"/>
        <w:rPr>
          <w:rFonts w:ascii="Times New Roman" w:cs="Times New Roman" w:eastAsia="Times New Roman" w:hAnsi="Times New Roman"/>
          <w:sz w:val="14"/>
          <w:szCs w:val="14"/>
          <w:color w:val="auto"/>
        </w:rPr>
      </w:pPr>
    </w:p>
    <w:p>
      <w:pPr>
        <w:ind w:left="260" w:right="279" w:firstLine="765"/>
        <w:spacing w:after="0" w:line="252" w:lineRule="auto"/>
        <w:tabs>
          <w:tab w:leader="none" w:pos="1212" w:val="left"/>
        </w:tabs>
        <w:numPr>
          <w:ilvl w:val="1"/>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payment for the Shares to be sold by such Selling Stockholder pursuant to this Agreement, delivery of such Shares, as directed by the Underwriters, to Cede &amp; Co. (“Cede”) or such other nominee as may be designated by The Depository Trust Company (“DTC”), registration of such Shares in the name of Cede or such other nominee and the crediting of such Shares on the books of DTC to securities accounts of the Underwriters (assuming that neither DTC nor any such Underwriter has notice of any adverse claim (within the meaning of Section 8-105 of the New York Uniform Commercial Code (the “UCC”)) to such Shares), (A) DTC shall be a “protected purchaser” of such Shares within the meaning of Section 8-303 of the UCC, (B) under Section 8-501 of the UCC, the Underwriters will acquire a valid security entitlement in respect of such Shares free and clear of all security interests, claims, liens or other encumbrances and (C) no action based on any “adverse claim”, within the meaning of Section 8-102 of the UCC, to such</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239" w:right="1440" w:bottom="1440" w:gutter="0" w:footer="0" w:header="0"/>
        </w:sectPr>
      </w:pPr>
    </w:p>
    <w:bookmarkStart w:id="109" w:name="page110"/>
    <w:bookmarkEnd w:id="109"/>
    <w:p>
      <w:pPr>
        <w:ind w:left="260" w:right="27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Shares may be asserted against the Underwriters with respect to such security entitlement; for purposes of this representation, such Selling Stockholder may assume that when such payment, delivery and crediting occur, (x) such Shares will have been registered in the name of Cede or another nominee designated by DTC, in each case on the Company’s share registry in accordance with its certificate of incorporation, bylaws and applicable law, (y) DTC will be registered as a “clearing corporation” within the meaning of Section 8-102 of the UCC and (z) appropriate entries to the accounts of the several Underwriters on the records of DTC will have been made pursuant to the UCC.</w:t>
      </w:r>
    </w:p>
    <w:p>
      <w:pPr>
        <w:spacing w:after="0" w:line="143" w:lineRule="exact"/>
        <w:rPr>
          <w:sz w:val="20"/>
          <w:szCs w:val="20"/>
          <w:color w:val="auto"/>
        </w:rPr>
      </w:pPr>
    </w:p>
    <w:p>
      <w:pPr>
        <w:ind w:left="260" w:right="379" w:firstLine="765"/>
        <w:spacing w:after="0" w:line="263" w:lineRule="auto"/>
        <w:tabs>
          <w:tab w:leader="none" w:pos="122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Selling Stockholder has not taken and will not take, directly or indirectly, any action that is designed to or that has constituted or might reasonably be expected to cause or result in unlawful stabilization or manipulation of the price of any security of the Company to facilitate the sale or resale of the Shares.</w:t>
      </w:r>
    </w:p>
    <w:p>
      <w:pPr>
        <w:spacing w:after="0" w:line="136" w:lineRule="exact"/>
        <w:rPr>
          <w:rFonts w:ascii="Times New Roman" w:cs="Times New Roman" w:eastAsia="Times New Roman" w:hAnsi="Times New Roman"/>
          <w:sz w:val="14"/>
          <w:szCs w:val="14"/>
          <w:color w:val="auto"/>
        </w:rPr>
      </w:pPr>
    </w:p>
    <w:p>
      <w:pPr>
        <w:ind w:left="260" w:right="339" w:firstLine="765"/>
        <w:spacing w:after="0" w:line="253" w:lineRule="auto"/>
        <w:tabs>
          <w:tab w:leader="none" w:pos="1212"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that any statements or omissions made in the Registration Statement, any Preliminary Prospectus, the Prospectus or any amendment or supplement thereto are made in reliance upon and in conformity with the Selling Stockholder Information (as defined below), such Registration Statement and Preliminary Prospectus did not, and the Prospectus and any further amendments or supplements to the Registration Statement and the Prospectus will not, when they become effective or are filed with the Commission, as the case may be, contain any untrue statement of a material fact or omit to state any material fact required to be stated therein or necessary to make the statements therein not misleading. “Selling Stockholder Information” consists solely of the information with respect to such Selling Stockholder in the beneficial ownership table under the caption “Principal and Selling Stockholders” in the Pricing Prospectus and the Prospectus.</w:t>
      </w:r>
    </w:p>
    <w:p>
      <w:pPr>
        <w:spacing w:after="0" w:line="142" w:lineRule="exact"/>
        <w:rPr>
          <w:rFonts w:ascii="Times New Roman" w:cs="Times New Roman" w:eastAsia="Times New Roman" w:hAnsi="Times New Roman"/>
          <w:sz w:val="14"/>
          <w:szCs w:val="14"/>
          <w:color w:val="auto"/>
        </w:rPr>
      </w:pPr>
    </w:p>
    <w:p>
      <w:pPr>
        <w:ind w:left="260" w:right="339" w:firstLine="765"/>
        <w:spacing w:after="0" w:line="258" w:lineRule="auto"/>
        <w:tabs>
          <w:tab w:leader="none" w:pos="1197"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order to document the Underwriters’ compliance with the reporting and withholding provisions of the Tax Equity and Fiscal Responsibility Act of 1982 with respect to the transactions herein contemplated, such Selling Stockholder will deliver to you prior to or at the Time of Delivery a properly completed and executed United States Treasury Department Form W-9 (or other applicable form or statement specified by Treasury Department regulations in lieu thereof).</w:t>
      </w:r>
    </w:p>
    <w:p>
      <w:pPr>
        <w:spacing w:after="0" w:line="139" w:lineRule="exact"/>
        <w:rPr>
          <w:rFonts w:ascii="Times New Roman" w:cs="Times New Roman" w:eastAsia="Times New Roman" w:hAnsi="Times New Roman"/>
          <w:sz w:val="14"/>
          <w:szCs w:val="14"/>
          <w:color w:val="auto"/>
        </w:rPr>
      </w:pPr>
    </w:p>
    <w:p>
      <w:pPr>
        <w:ind w:left="260" w:right="399" w:firstLine="765"/>
        <w:spacing w:after="0" w:line="258" w:lineRule="auto"/>
        <w:tabs>
          <w:tab w:leader="none" w:pos="122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obligations of such Selling Stockholder hereunder shall not be terminated by operation of law, whether by the dissolution of such Selling Stockholder or by the occurrence of any other event; if such Selling Stockholder shall be dissolved, or if any other such event should occur, before the delivery of the Shares to be sold by such Selling Stockholder hereunder, such Shares shall be delivered by or on behalf of such Selling Stockholder in accordance with the terms and conditions of this Agreement.</w:t>
      </w:r>
    </w:p>
    <w:p>
      <w:pPr>
        <w:spacing w:after="0" w:line="139" w:lineRule="exact"/>
        <w:rPr>
          <w:rFonts w:ascii="Times New Roman" w:cs="Times New Roman" w:eastAsia="Times New Roman" w:hAnsi="Times New Roman"/>
          <w:sz w:val="14"/>
          <w:szCs w:val="14"/>
          <w:color w:val="auto"/>
        </w:rPr>
      </w:pPr>
    </w:p>
    <w:p>
      <w:pPr>
        <w:ind w:left="260" w:right="479" w:firstLine="765"/>
        <w:spacing w:after="0" w:line="253" w:lineRule="auto"/>
        <w:tabs>
          <w:tab w:leader="none" w:pos="122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Selling Stockholder will not directly or knowingly indirectly use the proceeds of the offering of the Shares hereunder, or lend, contribute or otherwise make available such proceeds to any subsidiary, joint venture partner or other person or entity, (i) to fund or facilitate any activities of or business with any person, or in any country or territory, that, at the time of such funding, is the subject or the target of applicable Sanctions, or in any other manner that will result in a violation by any person (including any person participating in the transaction, whether as underwriter, advisor, investor or otherwise) of applicable Sanctions, or (ii) in furtherance of an offer, payment, promise to pay, or authorization of the payment or giving of money, or anything else of value, to any person in violation of any applicable Money Laundering Laws or any Anti-Corruption Laws.</w:t>
      </w:r>
    </w:p>
    <w:p>
      <w:pPr>
        <w:spacing w:after="0" w:line="142" w:lineRule="exact"/>
        <w:rPr>
          <w:rFonts w:ascii="Times New Roman" w:cs="Times New Roman" w:eastAsia="Times New Roman" w:hAnsi="Times New Roman"/>
          <w:sz w:val="14"/>
          <w:szCs w:val="14"/>
          <w:color w:val="auto"/>
        </w:rPr>
      </w:pPr>
    </w:p>
    <w:p>
      <w:pPr>
        <w:ind w:left="1200" w:hanging="175"/>
        <w:spacing w:after="0"/>
        <w:tabs>
          <w:tab w:leader="none" w:pos="120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[Reserved].</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9019"/>
          </w:cols>
          <w:pgMar w:left="1440" w:top="239" w:right="1440" w:bottom="1440" w:gutter="0" w:footer="0" w:header="0"/>
        </w:sectPr>
      </w:pPr>
    </w:p>
    <w:bookmarkStart w:id="110" w:name="page111"/>
    <w:bookmarkEnd w:id="110"/>
    <w:p>
      <w:pPr>
        <w:jc w:val="both"/>
        <w:ind w:left="260" w:right="499" w:firstLine="765"/>
        <w:spacing w:after="0" w:line="263" w:lineRule="auto"/>
        <w:tabs>
          <w:tab w:leader="none" w:pos="1189" w:val="left"/>
        </w:tabs>
        <w:numPr>
          <w:ilvl w:val="1"/>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Such Selling Stockholder represents and warrants that it is not (i) an employee benefit plan subject to Title I of ERISA, (ii) a plan or account subject to Section 4975 of the Internal Revenue Code of 1986, as amended or (iii) an entity deemed to hold “plan assets” of any such plan or account under Section 3(42) of ERISA, 29 C.F.R. 2510.3-101, or otherwise.</w:t>
      </w:r>
    </w:p>
    <w:p>
      <w:pPr>
        <w:spacing w:after="0" w:line="136" w:lineRule="exact"/>
        <w:rPr>
          <w:rFonts w:ascii="Times New Roman" w:cs="Times New Roman" w:eastAsia="Times New Roman" w:hAnsi="Times New Roman"/>
          <w:sz w:val="14"/>
          <w:szCs w:val="14"/>
          <w:color w:val="auto"/>
        </w:rPr>
      </w:pPr>
    </w:p>
    <w:p>
      <w:pPr>
        <w:ind w:left="260" w:right="319" w:firstLine="765"/>
        <w:spacing w:after="0" w:line="254" w:lineRule="auto"/>
        <w:tabs>
          <w:tab w:leader="none" w:pos="1220" w:val="left"/>
        </w:tabs>
        <w:numPr>
          <w:ilvl w:val="1"/>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Selling Stockholder listed on Schedule II hereto and organized or domiciled or otherwise resident for tax purposes in a jurisdiction outside of the United States (each, a “Non-U.S. Selling Stockholder”) specifically agrees that no stamp, documentary, issuance, registration, transfer, withholding, capital gains, income or other taxes or duties are payable by or on behalf of the Underwriters, the Medline Parties or any of its subsidiaries in the Cayman Islands or to any taxing authority thereof or therein in connection with (i) the execution, delivery or consummation of this Agreement, (ii) the sale and delivery of the Shares to the Underwriters or purchasers procured by the Underwriters, or (iii) the resale and delivery of the Shares by the Underwriters in the manner contemplated herein.</w:t>
      </w:r>
    </w:p>
    <w:p>
      <w:pPr>
        <w:spacing w:after="0" w:line="142" w:lineRule="exact"/>
        <w:rPr>
          <w:rFonts w:ascii="Times New Roman" w:cs="Times New Roman" w:eastAsia="Times New Roman" w:hAnsi="Times New Roman"/>
          <w:sz w:val="14"/>
          <w:szCs w:val="14"/>
          <w:color w:val="auto"/>
        </w:rPr>
      </w:pPr>
    </w:p>
    <w:p>
      <w:pPr>
        <w:ind w:left="260" w:right="299" w:firstLine="341"/>
        <w:spacing w:after="0" w:line="270" w:lineRule="auto"/>
        <w:tabs>
          <w:tab w:leader="none" w:pos="738"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the terms and conditions herein set forth, (a) each of the Selling Stockholders agrees, severally and not jointly, to sell to each of the Underwriters, and each of the Underwriters agrees, severally and not jointly, to purchase from each of the Selling Stockholders, at a purchase price per share of $[_______], the number of Firm Shares (to be adjusted by you so as to eliminate fractional shares) determined by multiplying the aggregate number of Firm Shares to be sold by each of the Selling Stockholders as set forth opposite their respective names in Schedule II hereto by a fraction, the numerator of which is the aggregate number of Firm Shares to be purchased by such Underwriter as set forth opposite the name of such Underwriter in Schedule I hereto and the denominator of which is the aggregate number of Firm Shares to be purchased by all of the Underwriters from all of the Selling Stockholders hereunder and (b) in the event and to the extent that the Underwriters shall exercise the election to purchase Optional Shares as provided below, each of the Selling Stockholders, as and to the extent indicated in Schedule II hereto, agrees, severally and not jointly, to sell to each of the Underwriters, and each of the Underwriters agrees, severally and not jointly, to purchase from each of the Selling Stockholders, at the purchase price per share set forth in clause (a) of this Section 3 (provided that the purchase price per Optional Share shall be reduced by an amount per share equal to any dividends or distributions declared by the Company and payable on the Firm Shares but not payable on the Optional Shares), that portion of the number of Optional Shares as to which such election shall have been exercised (to be adjusted by the Representatives so as to eliminate fractional shares) determined by multiplying such number of Optional Shares by a fraction, the numerator of which is the maximum number of Optional Shares which such Underwriter is entitled to purchase as set forth opposite the name of such Underwriter in Schedule I hereto and the denominator of which is the maximum number of Optional Shares that all of the Underwriters are entitled to purchase hereunder.</w:t>
      </w:r>
    </w:p>
    <w:p>
      <w:pPr>
        <w:spacing w:after="0" w:line="307" w:lineRule="exact"/>
        <w:rPr>
          <w:sz w:val="20"/>
          <w:szCs w:val="20"/>
          <w:color w:val="auto"/>
        </w:rPr>
      </w:pPr>
    </w:p>
    <w:p>
      <w:pPr>
        <w:ind w:left="260" w:right="339" w:firstLine="764"/>
        <w:spacing w:after="0" w:line="279" w:lineRule="auto"/>
        <w:rPr>
          <w:sz w:val="20"/>
          <w:szCs w:val="20"/>
          <w:color w:val="auto"/>
        </w:rPr>
      </w:pPr>
      <w:r>
        <w:rPr>
          <w:rFonts w:ascii="Times New Roman" w:cs="Times New Roman" w:eastAsia="Times New Roman" w:hAnsi="Times New Roman"/>
          <w:sz w:val="13"/>
          <w:szCs w:val="13"/>
          <w:color w:val="auto"/>
        </w:rPr>
        <w:t>Each of the Selling Stockholders, as and to the extent indicated on Schedule II hereto, hereby grants, severally and not jointly, to the Underwriters the right to purchase at their election up to [_______] Optional Shares, at the purchase price per share set forth in the paragraph above, for</w:t>
      </w:r>
    </w:p>
    <w:p>
      <w:pPr>
        <w:ind w:left="260" w:right="439"/>
        <w:spacing w:after="0" w:line="270" w:lineRule="auto"/>
        <w:rPr>
          <w:sz w:val="20"/>
          <w:szCs w:val="20"/>
          <w:color w:val="auto"/>
        </w:rPr>
      </w:pPr>
      <w:r>
        <w:rPr>
          <w:rFonts w:ascii="Times New Roman" w:cs="Times New Roman" w:eastAsia="Times New Roman" w:hAnsi="Times New Roman"/>
          <w:sz w:val="13"/>
          <w:szCs w:val="13"/>
          <w:color w:val="auto"/>
        </w:rPr>
        <w:t>the sole purpose of covering sales of shares of Class A Common Stock in excess of the number of Firm Shares, provided that the purchase price per Optional Share shall be reduced by an amount per share equal to any dividends or distributions declared by the Company and payable on the Firm Shares but not payable on the Optional Shares. Any such election to purchase Optional Shares shall be made in proportion to the number of Optional Shares to be sold by each Selling Stockholder. Any such election to purchase Optional Shares may be exercised only by written notice from the Representatives to the Company and the Selling Stockholders, given within a period of 30 calendar days after the date of this Agreement, setting forth the aggregate number of Optional Shares to be purchased and the date on which such Optional Shares are to be delivered, as determined by the Representatives but in no event earlier than the First Time of Delivery (as defined in Section 5(a) hereof) or, unless the Representatives, the Company and the Selling Stockholders otherwise agree in writing, no earlier than two or later than ten business days after the date of such notice.</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9019"/>
          </w:cols>
          <w:pgMar w:left="1440" w:top="239" w:right="1440" w:bottom="1440" w:gutter="0" w:footer="0" w:header="0"/>
        </w:sectPr>
      </w:pPr>
    </w:p>
    <w:bookmarkStart w:id="111" w:name="page112"/>
    <w:bookmarkEnd w:id="111"/>
    <w:p>
      <w:pPr>
        <w:ind w:left="260" w:right="459" w:firstLine="341"/>
        <w:spacing w:after="0" w:line="278" w:lineRule="auto"/>
        <w:tabs>
          <w:tab w:leader="none" w:pos="738"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Upon the authorization by the Representatives of the release of the Shares, the several Underwriters propose to offer the Shares for sale upon the terms and conditions set forth in the Pricing Disclosure Package and the Prospectus.</w:t>
      </w:r>
    </w:p>
    <w:p>
      <w:pPr>
        <w:spacing w:after="0" w:line="126" w:lineRule="exact"/>
        <w:rPr>
          <w:rFonts w:ascii="Times New Roman" w:cs="Times New Roman" w:eastAsia="Times New Roman" w:hAnsi="Times New Roman"/>
          <w:sz w:val="14"/>
          <w:szCs w:val="14"/>
          <w:color w:val="auto"/>
        </w:rPr>
      </w:pPr>
    </w:p>
    <w:p>
      <w:pPr>
        <w:ind w:left="260" w:right="299" w:firstLine="341"/>
        <w:spacing w:after="0" w:line="250" w:lineRule="auto"/>
        <w:tabs>
          <w:tab w:leader="none" w:pos="738"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The Shares to be purchased by each Underwriter hereunder, in definitive or book-entry form, and in such authorized denominations and registered in such names as the Representatives may request upon at least twenty-four hours’ prior notice to the Company and the Selling Stockholders shall be delivered by or on behalf of the Selling Stockholders to the Representatives, through the facilities of DTC, for the account of such Underwriter, against payment by or on behalf of such Underwriter of the purchase price therefor by wire transfer of Federal (same-day) funds to the account specified by the Selling Stockholders to the Representatives at least twenty-four hours in advance. To the extent the Shares are delivered in certificated form and not in book-entry form through the facilities of DTC, the Selling Stockholders will cause the certificates, if any, representing the Shares to be made available for checking and packaging at least twenty-four hours prior to the Time of Delivery (as defined below) with respect thereto at the office of DTC or its designated custodian (the “Designated Office”). The time and date of such delivery and payment shall be, with respect to the Firm Shares, [9:30] a.m., New York City time, on [_______], 2026, or such other time and date as the Representatives and the Selling Stockholders may agree upon in writing, and, with respect to the Optional Shares, [9:30] a.m., New York City time, on the date specified by the Representatives in the written notice given by the Representatives of the Underwriters’ election to purchase such Optional Shares, or such other time and date as the Representatives, the Company and the Selling Stockholders may agree upon in writing. Such time and date for delivery of the Firm Shares is herein called the “First Time of Delivery”, each such time and date for delivery of the Optional Shares, if not the First Time of Delivery, is herein called the “Second Time of Delivery”, and each such time and date for delivery is herein called a “Time of Delivery”.</w:t>
      </w:r>
    </w:p>
    <w:p>
      <w:pPr>
        <w:spacing w:after="0" w:line="148" w:lineRule="exact"/>
        <w:rPr>
          <w:sz w:val="20"/>
          <w:szCs w:val="20"/>
          <w:color w:val="auto"/>
        </w:rPr>
      </w:pPr>
    </w:p>
    <w:p>
      <w:pPr>
        <w:ind w:left="260" w:right="359" w:firstLine="341"/>
        <w:spacing w:after="0" w:line="252" w:lineRule="auto"/>
        <w:tabs>
          <w:tab w:leader="none" w:pos="796"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documents to be delivered at each Time of Delivery by or on behalf of the parties hereto pursuant to Section 9 hereof, including the cross receipt for the Shares and any additional documents requested by the Underwriters pursuant to Section 9(n) hereof, will be delivered at the offices of Latham &amp; Watkins LLP, 555 Eleventh Street, N.W., Washington, D.C. 20004 (the “Closing Location”), and the Shares will be delivered through the facilities of DTC, all at such Time of Delivery. A meeting will be held at the Closing Location at 4:00 p.m., New York City time, on the New York Business Day next preceding such Time of Delivery, at which meeting the final drafts of the documents to be delivered pursuant to the preceding sentence will be available for review by the parties hereto. For the purposes of this Section 5, “New York Business Day” shall mean each Monday, Tuesday, Wednesday, Thursday and Friday which is not a day on which banking institutions in New York City are generally authorized or obligated by law or executive order to close.</w:t>
      </w:r>
    </w:p>
    <w:p>
      <w:pPr>
        <w:spacing w:after="0" w:line="145" w:lineRule="exact"/>
        <w:rPr>
          <w:sz w:val="20"/>
          <w:szCs w:val="20"/>
          <w:color w:val="auto"/>
        </w:rPr>
      </w:pPr>
    </w:p>
    <w:p>
      <w:pPr>
        <w:ind w:left="740" w:hanging="139"/>
        <w:spacing w:after="0"/>
        <w:tabs>
          <w:tab w:leader="none" w:pos="74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Medline Parties severally and jointly agrees with each of the Underwriters:</w:t>
      </w:r>
    </w:p>
    <w:p>
      <w:pPr>
        <w:spacing w:after="0" w:line="88" w:lineRule="exact"/>
        <w:rPr>
          <w:rFonts w:ascii="Times New Roman" w:cs="Times New Roman" w:eastAsia="Times New Roman" w:hAnsi="Times New Roman"/>
          <w:sz w:val="14"/>
          <w:szCs w:val="14"/>
          <w:color w:val="auto"/>
        </w:rPr>
      </w:pPr>
    </w:p>
    <w:p>
      <w:pPr>
        <w:ind w:left="260" w:right="319" w:firstLine="765"/>
        <w:spacing w:after="0" w:line="258" w:lineRule="auto"/>
        <w:tabs>
          <w:tab w:leader="none" w:pos="1212" w:val="left"/>
        </w:tabs>
        <w:numPr>
          <w:ilvl w:val="1"/>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prepare the Prospectus in a form approved by the Representatives and to file such Prospectus pursuant to Rule 424(b) under the Act prior to the earlier of (i) the First Time of Delivery and (ii) the Commission’s close of business on the second business day following the execution and delivery of this Agreement, or, if applicable, such earlier time as may be required by Rule 430A(a)(3) under the Act; to make no further amendment or any supplement to the</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9019"/>
          </w:cols>
          <w:pgMar w:left="1440" w:top="239" w:right="1440" w:bottom="1440" w:gutter="0" w:footer="0" w:header="0"/>
        </w:sectPr>
      </w:pPr>
    </w:p>
    <w:bookmarkStart w:id="112" w:name="page113"/>
    <w:bookmarkEnd w:id="112"/>
    <w:p>
      <w:pPr>
        <w:ind w:left="260" w:right="339"/>
        <w:spacing w:after="0" w:line="25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Registration Statement or the Prospectus prior to the last Time of Delivery which shall be reasonably disapproved by the Representatives promptly after reasonable notice thereof; to advise the Representatives, promptly after it receives notice thereof, of the time when any amendment to the Registration Statement has been filed or becomes effective or any amendment or supplement to the Prospectus has been filed and to furnish the Representatives with copies thereof; to file promptly all material required to be filed by the Company with the Commission pursuant to Rule 433(d) under the Act; to advise the Representatives, promptly after it receives notice thereof, of the issuance by the Commission of any stop order or of any order preventing or suspending the use of any Preliminary Prospectus or other prospectus in respect of the Shares, of the suspension of the qualification of the Shares for offering or sale in any jurisdiction, of the initiation or threatening of any proceeding for any such purpose, or of any request by the Commission for the amending or supplementing of the Registration Statement or the Prospectus or for additional information; and, in the event of the issuance of any stop order or of any order preventing or suspending the use of any Preliminary Prospectus or other prospectus relating to the Shares or suspending any such qualification, to promptly use its best efforts to obtain the withdrawal of such order;</w:t>
      </w:r>
    </w:p>
    <w:p>
      <w:pPr>
        <w:spacing w:after="0" w:line="146" w:lineRule="exact"/>
        <w:rPr>
          <w:sz w:val="20"/>
          <w:szCs w:val="20"/>
          <w:color w:val="auto"/>
        </w:rPr>
      </w:pPr>
    </w:p>
    <w:p>
      <w:pPr>
        <w:ind w:left="260" w:right="279" w:firstLine="765"/>
        <w:spacing w:after="0" w:line="254" w:lineRule="auto"/>
        <w:tabs>
          <w:tab w:leader="none" w:pos="122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Promptly from time to time to take such action as the Representatives may reasonably request to qualify the Shares for offering and sale under the securities laws of such jurisdictions as the Representatives may reasonably request and to comply with such laws so as to permit the continuance of sales and dealings therein in such jurisdictions for as long as may be necessary to complete the distribution of the Shares,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in connection therewith the Company shall not be required to qualify as a foreign corporation (where not otherwise required) or to file a general consent to service of process in any jurisdiction (where not otherwise required), to qualify in any jurisdiction as a broker-dealer or to subject itself to taxation in any jurisdiction in which it was not otherwise subject to taxation;</w:t>
      </w:r>
    </w:p>
    <w:p>
      <w:pPr>
        <w:spacing w:after="0" w:line="142" w:lineRule="exact"/>
        <w:rPr>
          <w:rFonts w:ascii="Times New Roman" w:cs="Times New Roman" w:eastAsia="Times New Roman" w:hAnsi="Times New Roman"/>
          <w:sz w:val="14"/>
          <w:szCs w:val="14"/>
          <w:color w:val="auto"/>
        </w:rPr>
      </w:pPr>
    </w:p>
    <w:p>
      <w:pPr>
        <w:ind w:left="260" w:right="279" w:firstLine="765"/>
        <w:spacing w:after="0" w:line="271" w:lineRule="auto"/>
        <w:tabs>
          <w:tab w:leader="none" w:pos="1212"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Prior to 10:00 a.m., New York City time, on the New York Business Day next succeeding the date of this Agreement (or such later time as may be agreed to by the Company and the Representatives on behalf of the Underwriters) and from time to time, to furnish the Underwriters with written and electronic copies of the Prospectus in New York City in such quantities as the Representatives may reasonably request, and, if the delivery of a prospectus (or in lieu thereof, the notice referred to in Rule 173(a) under the Act) is required by law to be delivered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(or in lieu thereof, the notice referred to in Rule 173(a) under the Act) is delivered, not misleading, or, if for any other reason it shall be necessary during such same period to amend or supplement the Prospectus in order to comply with the Act, to notify the Representatives and upon the Representatives’ request to prepare and furnish without charge to each Underwriter and to any dealer in securities as many written and electronic copies as the Representatives may from time to time reasonably request of an amended Prospectus or a supplement to the Prospectus which will correct such statement or omission or effect such compliance; and in case any Underwriter is required to deliver a prospectus (or in lieu thereof, the notice referred to in Rule 173(a) under the Act) in connection with sales of any of the Shares at any time nine months or more after the time of issue of the Prospectus, upon the Representatives’ request but at the expense of such Underwriter, to prepare and deliver to such Underwriter as many written and electronic copies as the Representatives may reasonably request of an amended or supplemented Prospectus complying with Section 10(a)(3) of the Act;</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9019"/>
          </w:cols>
          <w:pgMar w:left="1440" w:top="239" w:right="1440" w:bottom="1440" w:gutter="0" w:footer="0" w:header="0"/>
        </w:sectPr>
      </w:pPr>
    </w:p>
    <w:bookmarkStart w:id="113" w:name="page114"/>
    <w:bookmarkEnd w:id="113"/>
    <w:p>
      <w:pPr>
        <w:ind w:left="260" w:right="419" w:firstLine="765"/>
        <w:spacing w:after="0" w:line="258" w:lineRule="auto"/>
        <w:tabs>
          <w:tab w:leader="none" w:pos="1220" w:val="left"/>
        </w:tabs>
        <w:numPr>
          <w:ilvl w:val="1"/>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To make generally available to its stockholders as soon as practicable (which may be satisfied by filing with the Commission’s EDGAR system), but in any event not later than sixteen months after the effective date of the Registration Statement (as defined in Rule 158(c) under the Act), an earnings statement of the Company and its subsidiaries (which need not be audited) complying with Section 11(a) of the Act and the rules and regulations of the Commission thereunder (including, at the option of the Company, Rule 158);</w:t>
      </w:r>
    </w:p>
    <w:p>
      <w:pPr>
        <w:spacing w:after="0" w:line="139" w:lineRule="exact"/>
        <w:rPr>
          <w:rFonts w:ascii="Times New Roman" w:cs="Times New Roman" w:eastAsia="Times New Roman" w:hAnsi="Times New Roman"/>
          <w:sz w:val="14"/>
          <w:szCs w:val="14"/>
          <w:color w:val="auto"/>
        </w:rPr>
      </w:pPr>
    </w:p>
    <w:p>
      <w:pPr>
        <w:ind w:left="260" w:right="279" w:firstLine="765"/>
        <w:spacing w:after="0" w:line="249" w:lineRule="auto"/>
        <w:tabs>
          <w:tab w:leader="none" w:pos="1212" w:val="left"/>
        </w:tabs>
        <w:numPr>
          <w:ilvl w:val="1"/>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period beginning from the date hereof and continuing to and including the date 75 days after the date of the Prospectus (the “Lock-Up Period”), not to (i) offer, sell, contract to sell, pledge, grant any option to purchase, make any short sale or otherwise transfer or dispose of, directly or indirectly, or publicly file with the Commission a registration statement under the Act relating to, any securities of the Company that are substantially similar to the Shares (except for any Registration Statement on Form S-8, or any amendment thereto, to register shares issuable upon exercise of awards granted pursuant to the terms of any employee equity incentive plan), including but not limited to any options or warrants to purchase shares of Common Stock or any securities that are convertible into or exchangeable for, or that represent the right to receive, Common Stock or any such substantially similar securities, or publicly disclose the intention to make any offer, sale, pledge, disposition or filing or (ii) enter into any swap or other agreement that transfers, in whole or in part, any of the economic consequences of ownership of the Common Stock or any such other securities, whether any such transaction described in clause (i) or (ii) above is to be settled by delivery of Common Stock or such other securities, in cash or otherwise (other than (u) shares of Common Stock or substantially similar securities issued pursuant to employee incentive plans existing on the date of this Agreement as described in the Registration Statement, Pricing Prospectus or the Prospectus (including, for the avoidance of doubt, the 2025 Medline Inc. Omnibus Incentive Plan and the Medline Inc. 2025 Employee Stock Purchase Plan) and any long-term incentive awards disclosed in the Pricing Prospectus and the Prospectus, (v) the shares in respect of tax withholding payments due upon the exercise, vesting and/or settlement, as applicable, of any long-term incentive awards described in the Pricing Prospectus and the Prospectus, (w) the shares or any such substantially similar securities to be transferred as a bona fide gift or gifts, including to charitable organization transferees or recipients, provided that, in the case of this clause (w) each recipient of such shares or substantially similar securities shall execute and deliver to the Representatives a lock-up agreement substantially to the effect set forth in Annex III, (x) shares of Stock or substantially similar securities to be issued upon the conversion or exchange of convertible or exchangeable securities outstanding as of the date of this Agreement (including, without limitation, the Units), (y) the issuance of up to 10% of the outstanding shares of Class A Common Stock (assuming all outstanding Units are exchanged for newly issued shares of Class A Common Stock on a one-for-one basis) or securities convertible into, exercisable for, or which are otherwise exchangeable for, Class A Common Stock (including, without limitation Units or any such substantially similar securities of the Company) in connection with the acquisition of, a joint venture with or a merger with, another company, and the filing of a registration statement with respect thereto; provided that, with respect to clause (y), prior to any such issuance each recipient of any such securities shall have executed and delivered to the Representatives an agreement substantially in the form of Annex III hereto)), without (a) the prior written consent of either Goldman Sachs &amp; Co. LLC or Morgan Stanley &amp; Co. LLC, and one additional Representative, on behalf of the underwriters, and (b) the prior written notice to the other Representatives, or (z) the facilitation of the establishment of a trading plan on behalf of a stockholder, officer or director of the Company pursuant to Rule 10b5-1 under the Exchange Act for the transfer of shares of Common Stock; provided that (a) such plans do not provide for the transfer of shares of Common Stock during the Lock-Up Period and (b) no filing by any party under the Exchange Act or other public announcement shall be required or made voluntarily in connection with such trading plan (other than the required disclosure on Form 10-Q or Form 10-K or any other applicable SEC form, as applicable, of the entrance into any trading plan during the relevant fiscal quarter, provided that such disclosure includes a statement to the effect that no transfers may be made pursuant to such trading plan during the Lock-Up Period).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9019"/>
          </w:cols>
          <w:pgMar w:left="1440" w:top="239" w:right="1440" w:bottom="1440" w:gutter="0" w:footer="0" w:header="0"/>
        </w:sectPr>
      </w:pPr>
    </w:p>
    <w:bookmarkStart w:id="114" w:name="page115"/>
    <w:bookmarkEnd w:id="114"/>
    <w:p>
      <w:pPr>
        <w:ind w:left="260" w:right="299" w:firstLine="765"/>
        <w:spacing w:after="0" w:line="277" w:lineRule="auto"/>
        <w:tabs>
          <w:tab w:leader="none" w:pos="1197" w:val="left"/>
        </w:tabs>
        <w:numPr>
          <w:ilvl w:val="1"/>
          <w:numId w:val="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 xml:space="preserve">To furnish to its stockholders as soon as practicable after the end of each fiscal year an annual report (including balance sheets and statements of income, stockholders’ equity and cash flows of the Company and its subsidiaries certified by independent public accountants) and, as soon as practicable after the end of each of the first three quarters of each fiscal year (beginning with the fiscal quarter ending after the effective date of the Registration Statement), to make available to its stockholders consolidated summary financial information of the Company and its subsidiaries for such quarter in reasonable detail;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any report or financial statement that is filed by the Company and publicly available on the Commission’s EDGAR system shall be deemed to have been timely furnished and delivered to the stockholders at the time furnished to or filed with the Commission;</w:t>
      </w:r>
    </w:p>
    <w:p>
      <w:pPr>
        <w:spacing w:after="0" w:line="129" w:lineRule="exact"/>
        <w:rPr>
          <w:rFonts w:ascii="Times New Roman" w:cs="Times New Roman" w:eastAsia="Times New Roman" w:hAnsi="Times New Roman"/>
          <w:sz w:val="13"/>
          <w:szCs w:val="13"/>
          <w:color w:val="auto"/>
        </w:rPr>
      </w:pPr>
    </w:p>
    <w:p>
      <w:pPr>
        <w:ind w:left="260" w:right="279" w:firstLine="765"/>
        <w:spacing w:after="0" w:line="253" w:lineRule="auto"/>
        <w:tabs>
          <w:tab w:leader="none" w:pos="1220" w:val="left"/>
        </w:tabs>
        <w:numPr>
          <w:ilvl w:val="1"/>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During a period of two years from the effective date of the Registration Statement, to furnish to the Representatives copies of all reports or other communications (financial or other) furnished to stockholders, and to deliver to the Representatives as soon as they are available, copies of any reports and financial statements furnished to or filed with the Commission or any national securities exchange on which any class of securities of the Company is listed (such financial statements to be on a consolidated basis to the extent the accounts of the Company and its subsidiaries are consolidated in reports furnished to its stockholders generally or to the Commission);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any report, communication or statement furnished or filed with the Commission that is publicly available on the Commission’s EDGAR system shall be deemed to have been furnished to the Representatives at the time furnished or filed with the Commission;</w:t>
      </w:r>
    </w:p>
    <w:p>
      <w:pPr>
        <w:spacing w:after="0" w:line="142" w:lineRule="exact"/>
        <w:rPr>
          <w:rFonts w:ascii="Times New Roman" w:cs="Times New Roman" w:eastAsia="Times New Roman" w:hAnsi="Times New Roman"/>
          <w:sz w:val="14"/>
          <w:szCs w:val="14"/>
          <w:color w:val="auto"/>
        </w:rPr>
      </w:pPr>
    </w:p>
    <w:p>
      <w:pPr>
        <w:ind w:left="1220" w:hanging="195"/>
        <w:spacing w:after="0"/>
        <w:tabs>
          <w:tab w:leader="none" w:pos="1220" w:val="left"/>
        </w:tabs>
        <w:numPr>
          <w:ilvl w:val="1"/>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[Reserved];</w:t>
      </w:r>
    </w:p>
    <w:p>
      <w:pPr>
        <w:spacing w:after="0" w:line="171" w:lineRule="exact"/>
        <w:rPr>
          <w:rFonts w:ascii="Times New Roman" w:cs="Times New Roman" w:eastAsia="Times New Roman" w:hAnsi="Times New Roman"/>
          <w:sz w:val="14"/>
          <w:szCs w:val="14"/>
          <w:color w:val="auto"/>
        </w:rPr>
      </w:pPr>
    </w:p>
    <w:p>
      <w:pPr>
        <w:ind w:left="260" w:right="479" w:firstLine="765"/>
        <w:spacing w:after="0" w:line="278" w:lineRule="auto"/>
        <w:tabs>
          <w:tab w:leader="none" w:pos="1189" w:val="left"/>
        </w:tabs>
        <w:numPr>
          <w:ilvl w:val="1"/>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so long as the Company is a reporting company pursuant to Section 12 or 15 of the Exchange Act, the Company will use its best efforts to maintain the listing of the Shares on Nasdaq;</w:t>
      </w:r>
    </w:p>
    <w:p>
      <w:pPr>
        <w:spacing w:after="0" w:line="126" w:lineRule="exact"/>
        <w:rPr>
          <w:rFonts w:ascii="Times New Roman" w:cs="Times New Roman" w:eastAsia="Times New Roman" w:hAnsi="Times New Roman"/>
          <w:sz w:val="14"/>
          <w:szCs w:val="14"/>
          <w:color w:val="auto"/>
        </w:rPr>
      </w:pPr>
    </w:p>
    <w:p>
      <w:pPr>
        <w:ind w:left="260" w:right="359" w:firstLine="765"/>
        <w:spacing w:after="0" w:line="258" w:lineRule="auto"/>
        <w:tabs>
          <w:tab w:leader="none" w:pos="1189" w:val="left"/>
        </w:tabs>
        <w:numPr>
          <w:ilvl w:val="1"/>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Company elects to rely upon Rule 462(b), the Company shall file a Rule 462(b) Registration Statement with the Commission in compliance with Rule 462(b) by 10:00 P.M., Washington, D.C. time, on the date of this Agreement, and the Company shall at the time of filing either pay to the Commission the filing fee for the Rule 462(b) Registration Statement or give irrevocable instructions for the payment of such fee pursuant to Rule 111(b) under the Act; and</w:t>
      </w:r>
    </w:p>
    <w:p>
      <w:pPr>
        <w:spacing w:after="0" w:line="139" w:lineRule="exact"/>
        <w:rPr>
          <w:rFonts w:ascii="Times New Roman" w:cs="Times New Roman" w:eastAsia="Times New Roman" w:hAnsi="Times New Roman"/>
          <w:sz w:val="14"/>
          <w:szCs w:val="14"/>
          <w:color w:val="auto"/>
        </w:rPr>
      </w:pPr>
    </w:p>
    <w:p>
      <w:pPr>
        <w:jc w:val="both"/>
        <w:ind w:left="260" w:right="639" w:firstLine="765"/>
        <w:spacing w:after="0" w:line="258" w:lineRule="auto"/>
        <w:tabs>
          <w:tab w:leader="none" w:pos="1220" w:val="left"/>
        </w:tabs>
        <w:numPr>
          <w:ilvl w:val="1"/>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Upon request of any Underwriter, to furnish, or cause to be furnished, to such Underwriter an electronic version of each Medline Party’s trademarks, servicemarks and corporate logo for use on the website, if any, operated by such Underwriter for the purpose of facilitating the on-line offering of the Shares (the “License”);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the License shall be used solely for the purpose described above, is granted without any fee and may not be assigned or transferred.</w:t>
      </w:r>
    </w:p>
    <w:p>
      <w:pPr>
        <w:spacing w:after="0" w:line="139" w:lineRule="exact"/>
        <w:rPr>
          <w:rFonts w:ascii="Times New Roman" w:cs="Times New Roman" w:eastAsia="Times New Roman" w:hAnsi="Times New Roman"/>
          <w:sz w:val="14"/>
          <w:szCs w:val="14"/>
          <w:color w:val="auto"/>
        </w:rPr>
      </w:pPr>
    </w:p>
    <w:p>
      <w:pPr>
        <w:ind w:left="260" w:right="499" w:firstLine="341"/>
        <w:spacing w:after="0" w:line="253" w:lineRule="auto"/>
        <w:tabs>
          <w:tab w:leader="none" w:pos="738"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The Company represents and agrees that, without the prior consent of the Representatives, it has not made and will not make any offer relating to the Shares that would constitute a “free writing prospectus” as defined in Rule 405 under the Act; each Selling Stockholder represents and agrees that, without the prior consent of the Company and the Representatives, it has not made and will not make any offer relating to the Shares that would constitute a free writing prospectus; and each Underwriter represents and agrees that, without the prior consent of the Company and the Representatives, it has not made and will not make any offer relating to the Shares that would constitute a free writing prospectus required to be filed with the Commission; any such free writing prospectus the use of which has been consented to by the Company and the Representatives is listed on Schedule III(a) or Schedule III(c) hereto.</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9019"/>
          </w:cols>
          <w:pgMar w:left="1440" w:top="239" w:right="1440" w:bottom="1440" w:gutter="0" w:footer="0" w:header="0"/>
        </w:sectPr>
      </w:pPr>
    </w:p>
    <w:bookmarkStart w:id="115" w:name="page116"/>
    <w:bookmarkEnd w:id="115"/>
    <w:p>
      <w:pPr>
        <w:ind w:left="260" w:right="299" w:firstLine="341"/>
        <w:spacing w:after="0" w:line="292" w:lineRule="auto"/>
        <w:tabs>
          <w:tab w:leader="none" w:pos="796"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The Company has complied and will comply with the requirements of Rule 433 under the Act applicable to any Issuer Free Writing Prospectus, including timely filing with the Commission or retention where required and legending; and the Company represents that it has satisfied and agrees that it will satisfy the conditions under Rule 433 under the Act to avoid a requirement to file with the Commission any electronic road show.</w:t>
      </w:r>
    </w:p>
    <w:p>
      <w:pPr>
        <w:spacing w:after="0" w:line="119" w:lineRule="exact"/>
        <w:rPr>
          <w:rFonts w:ascii="Times New Roman" w:cs="Times New Roman" w:eastAsia="Times New Roman" w:hAnsi="Times New Roman"/>
          <w:sz w:val="13"/>
          <w:szCs w:val="13"/>
          <w:color w:val="auto"/>
        </w:rPr>
      </w:pPr>
    </w:p>
    <w:p>
      <w:pPr>
        <w:ind w:left="260" w:right="279" w:firstLine="341"/>
        <w:spacing w:after="0" w:line="251" w:lineRule="auto"/>
        <w:tabs>
          <w:tab w:leader="none" w:pos="788"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agrees that if at any time following issuance of an Issuer Free Writing Prospectus or Written Testing-the-Waters Communication any event occurred or occurs as a result of which such Issuer Free Writing Prospectus or Written Testing-the-Waters Communication would conflict with the information in the Registration Statement, the Pricing Prospectus or the Prospectus or would include an untrue statement of a material fact or omit to state any material fact necessary in order to make the statements therein, in the light of the circumstances then prevailing, not misleading, the Company will give prompt notice thereof to the Representatives and, if requested by the Representatives, will prepare and furnish without charge to each Underwriter an Issuer Free Writing Prospectus, Written Testing-the-Waters Communication or other document which will correct such conflict, statement or omission;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this covenant shall not apply to any statements or omissions in an Issuer Free Writing Prospectus or Written Testing-the-Waters Communication made in reliance upon and in conformity with the Underwriter Information or the Selling Stockholder Information.</w:t>
      </w:r>
    </w:p>
    <w:p>
      <w:pPr>
        <w:spacing w:after="0" w:line="148" w:lineRule="exact"/>
        <w:rPr>
          <w:rFonts w:ascii="Times New Roman" w:cs="Times New Roman" w:eastAsia="Times New Roman" w:hAnsi="Times New Roman"/>
          <w:sz w:val="14"/>
          <w:szCs w:val="14"/>
          <w:color w:val="auto"/>
        </w:rPr>
      </w:pPr>
    </w:p>
    <w:p>
      <w:pPr>
        <w:ind w:left="260" w:right="339" w:firstLine="341"/>
        <w:spacing w:after="0" w:line="254" w:lineRule="auto"/>
        <w:tabs>
          <w:tab w:leader="none" w:pos="796"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represents and agrees that (i) it has not engaged in, or authorized any other person to engage in, any Testing-the-Waters Communications, other than Testing-the-Waters Communications with the prior consent of the Representatives with entities that are qualified institutional buyers as defined in Rule 144A under the Act or institutions that are accredited investors as defined in Rule 501(a)(1), (a)(2), (a)(3), (a)(7), (a)(8), (a)(9), (a)(12) or (a)(13) under the Act; and (ii) it has not distributed, or authorized any other person to distribute, any Written Testing-the-Waters Communications, other than those distributed with the prior consent of the Representatives that are listed on Schedule III(e) hereto; and the Company reconfirms that the Underwriters have been authorized to act on its behalf in engaging in Testing-the-Waters Communications.</w:t>
      </w:r>
    </w:p>
    <w:p>
      <w:pPr>
        <w:spacing w:after="0" w:line="142" w:lineRule="exact"/>
        <w:rPr>
          <w:rFonts w:ascii="Times New Roman" w:cs="Times New Roman" w:eastAsia="Times New Roman" w:hAnsi="Times New Roman"/>
          <w:sz w:val="14"/>
          <w:szCs w:val="14"/>
          <w:color w:val="auto"/>
        </w:rPr>
      </w:pPr>
    </w:p>
    <w:p>
      <w:pPr>
        <w:ind w:left="260" w:right="279" w:firstLine="341"/>
        <w:spacing w:after="0" w:line="263" w:lineRule="auto"/>
        <w:tabs>
          <w:tab w:leader="none" w:pos="788"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Underwriter represents and agrees that any Testing-the-Waters Communications undertaken by it were with entities that such Underwriter reasonably believes are qualified institutional buyers as defined in Rule 144A under the Act or institutions that are accredited investors as defined in Rule 501(a)(1), (a)(2), (a)(3), (a)(7), (a)(8), (a)(9), (a)(12) or (a)(13) under the Act.</w:t>
      </w:r>
    </w:p>
    <w:p>
      <w:pPr>
        <w:spacing w:after="0" w:line="136" w:lineRule="exact"/>
        <w:rPr>
          <w:sz w:val="20"/>
          <w:szCs w:val="20"/>
          <w:color w:val="auto"/>
        </w:rPr>
      </w:pPr>
    </w:p>
    <w:p>
      <w:pPr>
        <w:ind w:left="260" w:right="359" w:firstLine="341"/>
        <w:spacing w:after="0" w:line="252" w:lineRule="auto"/>
        <w:tabs>
          <w:tab w:leader="none" w:pos="738"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Medline Party and each of the Selling Stockholders covenant and agree with one another and with the several Underwriters that (a) the Medline Parties will pay or cause to be paid the following: (i) the fees, disbursements and expenses of the Medline Parties’ and Selling Stockholders’ counsels and the Medline Parties’ accountants in connection with the registration of the Shares under the Act and all other expenses in connection with the preparation, printing, reproduction and filing of the Registration Statement, any Preliminary Prospectus, any Written Testing-the-Waters Communication, any Issuer Free Writing Prospectus and the Prospectus and amendments and supplements thereto and the mailing and delivering of copies thereof to the Underwriters and dealers; (ii) the cost of printing or producing any Agreement among Underwriters, this Agreement, the Blue Sky Memorandum, closing documents (including any compilations thereof) and any other documents in connection with the offering, purchase, sale and delivery of the Shares; (iii) all expenses in connection with the qualification of the Shares for</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9019"/>
          </w:cols>
          <w:pgMar w:left="1440" w:top="239" w:right="1440" w:bottom="1440" w:gutter="0" w:footer="0" w:header="0"/>
        </w:sectPr>
      </w:pPr>
    </w:p>
    <w:bookmarkStart w:id="116" w:name="page117"/>
    <w:bookmarkEnd w:id="116"/>
    <w:p>
      <w:pPr>
        <w:ind w:left="260" w:right="279"/>
        <w:spacing w:after="0" w:line="25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3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offering and sale under state securities laws as provided in Section 6(b) hereof, including the reasonable fees and disbursements of counsel for the Underwriters up to a maximum of $15,000, in connection with such qualification and in connection with the Blue Sky survey; (iv) all filing fees incident to, and the reasonable fees and disbursements of counsel for the Underwriters (up to a maximum of $50,000), in connection with, any required review by FINRA of the terms of the sale of the Shares; (v) the cost of preparing stock certificates, if applicable; (vi) the cost and charges of any transfer agent or registrar; (vii) all expenses incurred by the Medline Parties in connection with any “road show” presentation to potential investors; provided, however, that 50% of the cost of any aircraft chartered in connection with the road show or “testing-the-waters” pursuant to Rule 163B shall be paid by the Underwriters (with the Medline Parties paying the remaining 50% of the cost); and (viii) all other costs and expenses incident to the performance of the Medline Parties’ and Selling Stockholders’ obligations hereunder which are not otherwise specifically provided for in this Section; and (b) each Selling Stockholder shall pay any stock transfer taxes payable on the sale and delivery of the Shares to be sold by such Selling Stockholder, in each case to the Underwriters. It is understood, however, that, except as provided in this Section 8, and Sections 10 and 13 hereof, the Underwriters will pay all of their own costs and expenses, including the fees of their counsel, stock transfer taxes on resale of any of the Shares by them, and any advertising expenses connected with any offers they may make.</w:t>
      </w:r>
    </w:p>
    <w:p>
      <w:pPr>
        <w:spacing w:after="0" w:line="150" w:lineRule="exact"/>
        <w:rPr>
          <w:sz w:val="20"/>
          <w:szCs w:val="20"/>
          <w:color w:val="auto"/>
        </w:rPr>
      </w:pPr>
    </w:p>
    <w:p>
      <w:pPr>
        <w:ind w:left="260" w:right="339" w:firstLine="341"/>
        <w:spacing w:after="0" w:line="258" w:lineRule="auto"/>
        <w:tabs>
          <w:tab w:leader="none" w:pos="738"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obligations of the Underwriters hereunder, as to the Shares to be delivered at each Time of Delivery, shall be subject, in their discretion, to the condition that all representations and warranties and other statements of the Medline Parties and Selling Stockholders herein are, at and as of the Applicable Time and such Time of Delivery, true and correct, the condition that each Medline Party and Selling Stockholder shall have performed all of its obligations hereunder theretofore to be performed, and the following additional conditions:</w:t>
      </w:r>
    </w:p>
    <w:p>
      <w:pPr>
        <w:spacing w:after="0" w:line="56" w:lineRule="exact"/>
        <w:rPr>
          <w:rFonts w:ascii="Times New Roman" w:cs="Times New Roman" w:eastAsia="Times New Roman" w:hAnsi="Times New Roman"/>
          <w:sz w:val="14"/>
          <w:szCs w:val="14"/>
          <w:color w:val="auto"/>
        </w:rPr>
      </w:pPr>
    </w:p>
    <w:p>
      <w:pPr>
        <w:ind w:left="260" w:right="319" w:firstLine="765"/>
        <w:spacing w:after="0" w:line="251" w:lineRule="auto"/>
        <w:tabs>
          <w:tab w:leader="none" w:pos="1212" w:val="left"/>
        </w:tabs>
        <w:numPr>
          <w:ilvl w:val="1"/>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Prospectus shall have been filed with the Commission pursuant to Rule 424(b) under the Act within the applicable time period prescribed for such filing by the rules and regulations under the Act and in accordance with Section 6(a) hereof; all material required to be filed by the Company pursuant to Rule 433(d) under the Act shall have been filed with the Commission within the applicable time period prescribed for such filing by Rule 433; if the Company has elected to rely upon Rule 462(b) under the Act, the Rule 462(b) Registration Statement shall have become effective by 10:00 p.m., Washington, D.C. time, on the date of this Agreement; no stop order suspending the effectiveness of the Registration Statement or any part thereof shall have been issued and no proceeding for that purpose or pursuant to Section 8A of the Act shall have been initiated or, to the knowledge of the Company, threatened by the Commission; no stop order suspending or preventing the use of the Pricing Prospectus, Prospectus or any Issuer Free Writing Prospectus shall have been initiated or, to the knowledge of the Company, threatened by the Commission; and all requests for additional information on the part of the Commission shall have been complied with to the Representatives’ reasonable satisfaction;</w:t>
      </w:r>
    </w:p>
    <w:p>
      <w:pPr>
        <w:spacing w:after="0" w:line="148" w:lineRule="exact"/>
        <w:rPr>
          <w:rFonts w:ascii="Times New Roman" w:cs="Times New Roman" w:eastAsia="Times New Roman" w:hAnsi="Times New Roman"/>
          <w:sz w:val="14"/>
          <w:szCs w:val="14"/>
          <w:color w:val="auto"/>
        </w:rPr>
      </w:pPr>
    </w:p>
    <w:p>
      <w:pPr>
        <w:jc w:val="both"/>
        <w:ind w:left="260" w:right="439" w:firstLine="765"/>
        <w:spacing w:after="0" w:line="263" w:lineRule="auto"/>
        <w:tabs>
          <w:tab w:leader="none" w:pos="1220" w:val="left"/>
        </w:tabs>
        <w:numPr>
          <w:ilvl w:val="1"/>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Latham &amp; Watkins LLP, counsel for the Underwriters, shall have furnished to the Representatives such customary written opinion or opinions and negative assurance letter, dated such Time of Delivery, in form and substance satisfactory to the Representatives, and such counsel shall have received such papers and information as they may reasonably request to enable them to pass upon such matters;</w:t>
      </w:r>
    </w:p>
    <w:p>
      <w:pPr>
        <w:spacing w:after="0" w:line="136" w:lineRule="exact"/>
        <w:rPr>
          <w:rFonts w:ascii="Times New Roman" w:cs="Times New Roman" w:eastAsia="Times New Roman" w:hAnsi="Times New Roman"/>
          <w:sz w:val="14"/>
          <w:szCs w:val="14"/>
          <w:color w:val="auto"/>
        </w:rPr>
      </w:pPr>
    </w:p>
    <w:p>
      <w:pPr>
        <w:ind w:left="260" w:right="779" w:firstLine="765"/>
        <w:spacing w:after="0" w:line="263" w:lineRule="auto"/>
        <w:tabs>
          <w:tab w:leader="none" w:pos="1212" w:val="left"/>
        </w:tabs>
        <w:numPr>
          <w:ilvl w:val="1"/>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Simpson Thacher &amp; Bartlett LLP, counsel for the Company and certain of the Selling Stockholders, shall have furnished to the Representatives their customary written opinion or opinions and negative assurance letter, dated such Time of Delivery, in form and substance satisfactory to the Representatives;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9019"/>
          </w:cols>
          <w:pgMar w:left="1440" w:top="239" w:right="1440" w:bottom="1440" w:gutter="0" w:footer="0" w:header="0"/>
        </w:sectPr>
      </w:pPr>
    </w:p>
    <w:bookmarkStart w:id="117" w:name="page118"/>
    <w:bookmarkEnd w:id="117"/>
    <w:p>
      <w:pPr>
        <w:ind w:left="260" w:right="519" w:firstLine="765"/>
        <w:spacing w:after="0" w:line="278" w:lineRule="auto"/>
        <w:tabs>
          <w:tab w:leader="none" w:pos="122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3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Morgan Lewis &amp; Bockius LLP, counsel for Platinum Falcon B 2018 RSC Limited, shall have furnished to the Representatives their customary written opinion or opinions, dated such Time of Delivery, in form and substance satisfactory to the Representatives;</w:t>
      </w:r>
    </w:p>
    <w:p>
      <w:pPr>
        <w:spacing w:after="0" w:line="126" w:lineRule="exact"/>
        <w:rPr>
          <w:rFonts w:ascii="Times New Roman" w:cs="Times New Roman" w:eastAsia="Times New Roman" w:hAnsi="Times New Roman"/>
          <w:sz w:val="14"/>
          <w:szCs w:val="14"/>
          <w:color w:val="auto"/>
        </w:rPr>
      </w:pPr>
    </w:p>
    <w:p>
      <w:pPr>
        <w:ind w:left="260" w:right="539" w:firstLine="765"/>
        <w:spacing w:after="0" w:line="318" w:lineRule="auto"/>
        <w:tabs>
          <w:tab w:leader="none" w:pos="1212" w:val="left"/>
        </w:tabs>
        <w:numPr>
          <w:ilvl w:val="0"/>
          <w:numId w:val="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Walkers, Cayman Islands counsel for Hellman &amp; Friedman Capital Partners X (Parallel), L.P., shall have furnished to the Representatives their customary written opinion or opinions, dated such Time of Delivery, in form and substance satisfactory to the Representatives;</w:t>
      </w:r>
    </w:p>
    <w:p>
      <w:pPr>
        <w:spacing w:after="0" w:line="102" w:lineRule="exact"/>
        <w:rPr>
          <w:rFonts w:ascii="Times New Roman" w:cs="Times New Roman" w:eastAsia="Times New Roman" w:hAnsi="Times New Roman"/>
          <w:sz w:val="13"/>
          <w:szCs w:val="13"/>
          <w:color w:val="auto"/>
        </w:rPr>
      </w:pPr>
    </w:p>
    <w:p>
      <w:pPr>
        <w:jc w:val="both"/>
        <w:ind w:left="260" w:right="299" w:firstLine="765"/>
        <w:spacing w:after="0" w:line="258" w:lineRule="auto"/>
        <w:tabs>
          <w:tab w:leader="none" w:pos="1197"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the date of the Prospectus at a time prior to the execution of this Agreement, at 9:30 a.m., New York City time, on the effective date of any post-effective amendment to the Registration Statement filed subsequent to the date of this Agreement and also at each Time of Delivery, Ernst &amp; Young LLP shall have furnished to the Representatives a customary letter or letters, dated the respective dates of delivery thereof, in form and substance satisfactory to the Representatives;</w:t>
      </w:r>
    </w:p>
    <w:p>
      <w:pPr>
        <w:spacing w:after="0" w:line="139" w:lineRule="exact"/>
        <w:rPr>
          <w:rFonts w:ascii="Times New Roman" w:cs="Times New Roman" w:eastAsia="Times New Roman" w:hAnsi="Times New Roman"/>
          <w:sz w:val="14"/>
          <w:szCs w:val="14"/>
          <w:color w:val="auto"/>
        </w:rPr>
      </w:pPr>
    </w:p>
    <w:p>
      <w:pPr>
        <w:ind w:left="260" w:right="319" w:firstLine="765"/>
        <w:spacing w:after="0" w:line="250" w:lineRule="auto"/>
        <w:tabs>
          <w:tab w:leader="none" w:pos="122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Neither of the Medline Parties nor any of their subsidiaries shall have sustained since the date of the latest audited financial statements of Medline Holdings included or incorporated by reference in the Pricing Prospectus any loss or interference with its business from fire, explosion, flood or other calamity, whether or not covered by insurance, or from any labor dispute or court or governmental action, order or decree, otherwise than as set forth or contemplated in the Pricing Prospectus, and (ii) since the respective dates as of which information is given in the Pricing Prospectus there shall not have been any change in the capital stock (other than as a result of (x) the exercise or settlement, if any, of stock options or other equity awards or the grant or award, if any, of stock options, restricted stock or other equity pursuant to any of the Medline Parties’ equity plans that are described in the Pricing Prospectus and the Prospectus or (y) the issuance, if any, of stock upon conversion or exchange of Company securities or securities of Medline Holdings, as described in the Pricing Prospectus and the Prospectus) or long-term debt of the Medline Parties or any of their subsidiaries or any material adverse change, or any development involving a prospective material adverse change, in the condition (financial or otherwise), business or results of operations, whether or not arising from transactions in the ordinary course of business, of the Medline Parties and their subsidiaries, taken as a whole, except as set forth or contemplated in the Pricing Prospectus and the Prospectus, the effect of which, in any such case described in clause (i) or (ii), is in the Representatives’ judgment so material and adverse as to make it impracticable or inadvisable to proceed with the public offering or the delivery of the Shares being delivered at such Time of Delivery on the terms and in the manner contemplated in the Pricing Prospectus and the Prospectus;</w:t>
      </w:r>
    </w:p>
    <w:p>
      <w:pPr>
        <w:spacing w:after="0" w:line="147" w:lineRule="exact"/>
        <w:rPr>
          <w:rFonts w:ascii="Times New Roman" w:cs="Times New Roman" w:eastAsia="Times New Roman" w:hAnsi="Times New Roman"/>
          <w:sz w:val="14"/>
          <w:szCs w:val="14"/>
          <w:color w:val="auto"/>
        </w:rPr>
      </w:pPr>
    </w:p>
    <w:p>
      <w:pPr>
        <w:ind w:left="260" w:right="339" w:firstLine="765"/>
        <w:spacing w:after="0" w:line="258" w:lineRule="auto"/>
        <w:tabs>
          <w:tab w:leader="none" w:pos="122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or after the Applicable Time (i) no downgrading shall have occurred in the rating accorded any debt securities of the Medline Parties or any of their subsidiaries by any “nationally recognized statistical rating organization”, as that term is defined by the Commission for purposes of Rule 436(g)(2) under the Act, and (ii) no such organization shall have publicly announced that it has under surveillance or review, with possible negative implications, its rating of any of the Medline Parties’ debt securities;</w:t>
      </w:r>
    </w:p>
    <w:p>
      <w:pPr>
        <w:spacing w:after="0" w:line="139" w:lineRule="exact"/>
        <w:rPr>
          <w:rFonts w:ascii="Times New Roman" w:cs="Times New Roman" w:eastAsia="Times New Roman" w:hAnsi="Times New Roman"/>
          <w:sz w:val="14"/>
          <w:szCs w:val="14"/>
          <w:color w:val="auto"/>
        </w:rPr>
      </w:pPr>
    </w:p>
    <w:p>
      <w:pPr>
        <w:jc w:val="both"/>
        <w:ind w:left="260" w:right="379" w:firstLine="765"/>
        <w:spacing w:after="0" w:line="284" w:lineRule="auto"/>
        <w:tabs>
          <w:tab w:leader="none" w:pos="1189" w:val="left"/>
        </w:tabs>
        <w:numPr>
          <w:ilvl w:val="0"/>
          <w:numId w:val="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or after the Applicable Time there shall not have occurred any of the following: (i) a suspension or material limitation in trading in securities generally on Nasdaq; (ii) a suspension or material limitation in trading in the Company’s securities on Nasdaq; (iii) a general moratorium on commercial banking activities declared by either Federal or New York State authorities or a material disruption in commercial banking or securities settlement or clearance services in the United States; (iv) the outbreak or escalation of hostilities involving the United States or the</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9019"/>
          </w:cols>
          <w:pgMar w:left="1440" w:top="239" w:right="1440" w:bottom="1440" w:gutter="0" w:footer="0" w:header="0"/>
        </w:sectPr>
      </w:pPr>
    </w:p>
    <w:bookmarkStart w:id="118" w:name="page119"/>
    <w:bookmarkEnd w:id="118"/>
    <w:p>
      <w:pPr>
        <w:ind w:left="260" w:right="339"/>
        <w:spacing w:after="0" w:line="25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3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declaration by the United States of a national emergency or war or (v) the occurrence of any other calamity or crisis or any change in financial, political or economic conditions in the United States or elsewhere, if the effect of any such event specified in clause (iv) or (v) is in the Representatives’ judgment so material and adverse as to make it impracticable or inadvisable to proceed with the public offering or the delivery of the Shares being delivered at such Time of Delivery on the terms and in the manner contemplated in the Pricing Prospectus and the Prospectus;</w:t>
      </w:r>
    </w:p>
    <w:p>
      <w:pPr>
        <w:spacing w:after="0" w:line="140" w:lineRule="exact"/>
        <w:rPr>
          <w:sz w:val="20"/>
          <w:szCs w:val="20"/>
          <w:color w:val="auto"/>
        </w:rPr>
      </w:pPr>
    </w:p>
    <w:p>
      <w:pPr>
        <w:ind w:left="1200" w:hanging="175"/>
        <w:spacing w:after="0"/>
        <w:tabs>
          <w:tab w:leader="none" w:pos="120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to be sold at such Time of Delivery shall have been duly listed on Nasdaq;</w:t>
      </w:r>
    </w:p>
    <w:p>
      <w:pPr>
        <w:spacing w:after="0" w:line="171" w:lineRule="exact"/>
        <w:rPr>
          <w:rFonts w:ascii="Times New Roman" w:cs="Times New Roman" w:eastAsia="Times New Roman" w:hAnsi="Times New Roman"/>
          <w:sz w:val="14"/>
          <w:szCs w:val="14"/>
          <w:color w:val="auto"/>
        </w:rPr>
      </w:pPr>
    </w:p>
    <w:p>
      <w:pPr>
        <w:ind w:left="260" w:right="519" w:firstLine="765"/>
        <w:spacing w:after="0" w:line="278" w:lineRule="auto"/>
        <w:tabs>
          <w:tab w:leader="none" w:pos="122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FINRA shall have confirmed that it has not raised any objection with respect to the fairness and reasonableness of the underwriting terms and arrangements to the offering of the Shares;</w:t>
      </w:r>
    </w:p>
    <w:p>
      <w:pPr>
        <w:spacing w:after="0" w:line="126" w:lineRule="exact"/>
        <w:rPr>
          <w:rFonts w:ascii="Times New Roman" w:cs="Times New Roman" w:eastAsia="Times New Roman" w:hAnsi="Times New Roman"/>
          <w:sz w:val="14"/>
          <w:szCs w:val="14"/>
          <w:color w:val="auto"/>
        </w:rPr>
      </w:pPr>
    </w:p>
    <w:p>
      <w:pPr>
        <w:ind w:left="260" w:right="579" w:firstLine="765"/>
        <w:spacing w:after="0" w:line="263" w:lineRule="auto"/>
        <w:tabs>
          <w:tab w:leader="none" w:pos="1189"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have obtained and delivered to the Underwriters executed copies of an agreement from each of the Company’s officers, directors and stockholders listed on Schedule IV hereto, substantially to the effect set forth in Annex III hereto in form and substance satisfactory to the Representatives;</w:t>
      </w:r>
    </w:p>
    <w:p>
      <w:pPr>
        <w:spacing w:after="0" w:line="136" w:lineRule="exact"/>
        <w:rPr>
          <w:rFonts w:ascii="Times New Roman" w:cs="Times New Roman" w:eastAsia="Times New Roman" w:hAnsi="Times New Roman"/>
          <w:sz w:val="14"/>
          <w:szCs w:val="14"/>
          <w:color w:val="auto"/>
        </w:rPr>
      </w:pPr>
    </w:p>
    <w:p>
      <w:pPr>
        <w:ind w:left="260" w:right="319" w:firstLine="765"/>
        <w:spacing w:after="0" w:line="263" w:lineRule="auto"/>
        <w:tabs>
          <w:tab w:leader="none" w:pos="1258"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have complied with the provisions of Section 6(c) hereof with respect to the furnishing of prospectuses on the New York Business Day next succeeding the date of this Agreement (or such later time as may be agreed to by the Company and the Representatives on behalf of the Underwriters);</w:t>
      </w:r>
    </w:p>
    <w:p>
      <w:pPr>
        <w:spacing w:after="0" w:line="136" w:lineRule="exact"/>
        <w:rPr>
          <w:rFonts w:ascii="Times New Roman" w:cs="Times New Roman" w:eastAsia="Times New Roman" w:hAnsi="Times New Roman"/>
          <w:sz w:val="14"/>
          <w:szCs w:val="14"/>
          <w:color w:val="auto"/>
        </w:rPr>
      </w:pPr>
    </w:p>
    <w:p>
      <w:pPr>
        <w:ind w:left="260" w:right="359" w:firstLine="765"/>
        <w:spacing w:after="0" w:line="254" w:lineRule="auto"/>
        <w:tabs>
          <w:tab w:leader="none" w:pos="122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and the Selling Stockholders shall have furnished or caused to be furnished to the Representatives at such Time of Delivery certificates of officers of the Company and the Selling Stockholders, respectively, satisfactory to the Representatives as to the accuracy of the representations and warranties of the Company and the Selling Stockholders, respectively, herein at and as of such Time of Delivery, as to the performance by the Medline Parties and the Selling Stockholders, respectively, of all of their obligations hereunder to be performed at or prior to such Time of Delivery, and as to such other matters as the Representatives may reasonably request, and the Medline Parties shall have furnished or caused to be furnished certificates as to the matters set forth in subsections (a), (g) and (h) of this Section 9; and</w:t>
      </w:r>
    </w:p>
    <w:p>
      <w:pPr>
        <w:spacing w:after="0" w:line="142" w:lineRule="exact"/>
        <w:rPr>
          <w:rFonts w:ascii="Times New Roman" w:cs="Times New Roman" w:eastAsia="Times New Roman" w:hAnsi="Times New Roman"/>
          <w:sz w:val="14"/>
          <w:szCs w:val="14"/>
          <w:color w:val="auto"/>
        </w:rPr>
      </w:pPr>
    </w:p>
    <w:p>
      <w:pPr>
        <w:ind w:left="260" w:right="279" w:firstLine="765"/>
        <w:spacing w:after="0" w:line="251" w:lineRule="auto"/>
        <w:tabs>
          <w:tab w:leader="none" w:pos="122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the date of the Prospectus at a time prior to the execution of this Agreement, at 9:30 a.m., New York City time, on the effective date of any post-effective amendment to the Registration Statement filed subsequent to the date of this Agreement and at each Time of Delivery, the Company shall have furnished or caused to be furnished to the Representatives a certificate, dated the respective dates of delivery thereof and addressed to the Underwriters, of the chief financial officer of the Company, solely in his capacity as an officer of the Company, with respect to certain financial and operating data contained in the Registration Statement, the Pricing Prospectus and the Prospectus, as applicable, identified by the Representatives (the “Covered Information”), to the effect that (i) the Covered Information was prepared utilizing information derived from the appropriate financial, accounting and corporate records of the Medline Parties and their subsidiaries, (ii) the Covered Information is accurate and correct in all material respects, and (iii) such information, when taken together with the other information contained in the Registration Statement, the Pricing Disclosure Package and the Prospectus, as applicable, does not omit to state a material fact necessary in order to make such statements, in light of the circumstances under which they were made, not misleading.</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9019"/>
          </w:cols>
          <w:pgMar w:left="1440" w:top="239" w:right="1440" w:bottom="1440" w:gutter="0" w:footer="0" w:header="0"/>
        </w:sectPr>
      </w:pPr>
    </w:p>
    <w:bookmarkStart w:id="119" w:name="page120"/>
    <w:bookmarkEnd w:id="119"/>
    <w:p>
      <w:pPr>
        <w:ind w:left="800" w:hanging="199"/>
        <w:spacing w:after="0"/>
        <w:tabs>
          <w:tab w:leader="none" w:pos="80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Indemnification.</w:t>
      </w:r>
    </w:p>
    <w:p>
      <w:pPr>
        <w:spacing w:after="0" w:line="171" w:lineRule="exact"/>
        <w:rPr>
          <w:rFonts w:ascii="Times New Roman" w:cs="Times New Roman" w:eastAsia="Times New Roman" w:hAnsi="Times New Roman"/>
          <w:sz w:val="14"/>
          <w:szCs w:val="14"/>
          <w:color w:val="auto"/>
        </w:rPr>
      </w:pPr>
    </w:p>
    <w:p>
      <w:pPr>
        <w:ind w:left="260" w:right="279" w:firstLine="765"/>
        <w:spacing w:after="0" w:line="249" w:lineRule="auto"/>
        <w:tabs>
          <w:tab w:leader="none" w:pos="1212" w:val="left"/>
        </w:tabs>
        <w:numPr>
          <w:ilvl w:val="1"/>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Medline Party, jointly and severally, will indemnify and hold harmless each Underwriter and its directors, officers, employees and each person, if any, who controls such Underwriter, within the meaning of the Act and the Exchange Act, and each Selling Stockholder and its directors, officers, employees and each person, if any, who controls such Selling Stockholder, within the meaning of the Act and the Exchange Act, against any losses, claims, damages or liabilities, joint or several, to which such Underwriter and its directors, officers, employees and each person, if any, who controls such Underwriter, within the meaning of the Act and the Exchange Act and such Selling Stockholder and its directors, officers, employees and each person, if any, who controls such Selling Stockholder, within the meaning of the Act and the Exchange Act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any Issuer Free Writing Prospectus, any “issuer information” filed or required to be filed pursuant to Rule 433(d) under the Act or any Written Testing-the-Waters Communication, or arise out of or are based upon the omission or alleged omission to state therein a material fact required to be stated therein or necessary to make the statements therein not misleading, and will reimburse each Underwriter and its directors, officers, employees and each person, if any, who controls such Underwriter, within the meaning of the Act and the Exchange Act and each Selling Stockholder and its directors, officers, employees and each person, if any, who controls such Selling Stockholder, within the meaning of the Act and the Exchange Act for any legal or other expenses reasonably incurred by such Underwriter and its directors, officers, employees and each person, if any, who controls such Underwriter, within the meaning of the Act and the Exchange Act and such Selling Stockholder and its directors, officers, employees and each person, if any, who controls such Selling Stockholder, within the meaning of the Act and the Exchange Act in connection with investigating or defending any such action or claim as such expenses are incurred;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the Medline Parties shall not be liable in any such case to the extent that any such loss, claim, damage or liability arises out of or is based upon an untrue statement or alleged untrue statement or omission or alleged omission made in the Registration Statement, any Preliminary Prospectus, the Pricing Prospectus or the Prospectus, or any amendment or supplement thereto, or any Issuer Free Writing Prospectus or any Written Testing-the-Waters Communication, in reliance upon and in conformity with the Underwriter Information (as defined below) (with respect to the Underwriters) or the Selling Stockholder Information (with respect to such Selling Stockholder).</w:t>
      </w:r>
    </w:p>
    <w:p>
      <w:pPr>
        <w:spacing w:after="0" w:line="151" w:lineRule="exact"/>
        <w:rPr>
          <w:rFonts w:ascii="Times New Roman" w:cs="Times New Roman" w:eastAsia="Times New Roman" w:hAnsi="Times New Roman"/>
          <w:sz w:val="14"/>
          <w:szCs w:val="14"/>
          <w:color w:val="auto"/>
        </w:rPr>
      </w:pPr>
    </w:p>
    <w:p>
      <w:pPr>
        <w:ind w:left="260" w:right="319" w:firstLine="765"/>
        <w:spacing w:after="0" w:line="271" w:lineRule="auto"/>
        <w:tabs>
          <w:tab w:leader="none" w:pos="1220" w:val="left"/>
        </w:tabs>
        <w:numPr>
          <w:ilvl w:val="1"/>
          <w:numId w:val="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the Selling Stockholders, severally and not jointly, will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any Issuer Free Writing Prospectus, any “issuer information” filed or required to be filed pursuant to Rule 433(d) under the Act or any Written Testing-the-Waters Communication,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any Preliminary Prospectus, the Pricing Prospectus or the Prospectus, or any amendment or supplement thereto, any Issuer Free Writing Prospectus, any “issuer information” filed or required to be filed pursuant to Rule 433(d) under the Act or any Written Testing-the-Waters Communication, in reliance upon and in conformity with such Selling Stockholder’s Selling Stockholder Information; and will reimburse each Underwriter for any legal or other expenses reasonably incurred by such Underwriter in connection with investigating or defending any such action or claim as such expenses are incurred; provided, however, that such</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9019"/>
          </w:cols>
          <w:pgMar w:left="1440" w:top="239" w:right="1440" w:bottom="1440" w:gutter="0" w:footer="0" w:header="0"/>
        </w:sectPr>
      </w:pPr>
    </w:p>
    <w:bookmarkStart w:id="120" w:name="page121"/>
    <w:bookmarkEnd w:id="120"/>
    <w:p>
      <w:pPr>
        <w:ind w:left="260" w:right="299"/>
        <w:spacing w:after="0" w:line="27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Selling Stockholder shall not be liable in any such case to the extent that any such loss, claim, damage or liability arises out of or is based upon an untrue statement or alleged untrue statement or omission or alleged omission made in the Registration Statement, any Preliminary Prospectus, the Pricing Prospectus or the Prospectus, or any amendment or supplement thereto, or any Issuer Free Writing Prospectus or any Written Testing-the-Waters Communication in reliance upon and in conformity with the Underwriter Information; provided further that the liability of such Selling Stockholder pursuant to this subsection (b) shall not exceed the product of the number of Shares sold by such Selling Stockholder including any Optional Shares and the price per share referenced in Section 3 hereof (each such amount, the “Selling Stockholder Proceeds” as set forth in the Prospectus).</w:t>
      </w:r>
    </w:p>
    <w:p>
      <w:pPr>
        <w:spacing w:after="0" w:line="129" w:lineRule="exact"/>
        <w:rPr>
          <w:sz w:val="20"/>
          <w:szCs w:val="20"/>
          <w:color w:val="auto"/>
        </w:rPr>
      </w:pPr>
    </w:p>
    <w:p>
      <w:pPr>
        <w:ind w:left="260" w:right="279" w:firstLine="765"/>
        <w:spacing w:after="0" w:line="249" w:lineRule="auto"/>
        <w:tabs>
          <w:tab w:leader="none" w:pos="1212"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Underwriter, severally and not jointly, will indemnify and hold harmless each Medline Party, each Selling Stockholder, each Medline Party’s directors, officers, employees and each person, if any, who controls such Medline Party or Selling Stockholder, within the meaning of the Act and the Exchange Act against any losses, claims, damages or liabilities to which such Medline Party, such Selling Stockholder, such Medline Party’s directors, officers and employees and each person, if any, who controls such Medline Party or Selling Stockholder, within the meaning of the Act and the Exchange Act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or any Issuer Free Writing Prospectus, or any Written Testing-the-Waters Communication,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any Preliminary Prospectus, the Pricing Prospectus or the Prospectus, or any amendment or supplement thereto, or any Issuer Free Writing Prospectus, or any Written Testing-the-Waters Communication, in reliance upon and in conformity with the Underwriter Information; and will reimburse each Medline Party, each Selling Stockholder, each Medline Party’s directors, officers and employees and each person, if any, who controls such Medline Party or Selling Stockholder within the meaning of the Act and the Exchange Act for any legal or other expenses reasonably incurred by such Medline Party, such Selling Stockholder, such Medline Party’s directors, officers and employees and each person, if any, who controls such Medline Party or Selling Stockholder within the meaning of the Act and the Exchange Act in connection with investigating or defending any such action or claim as such expenses are incurred. As used in this Agreement with respect to an Underwriter and an applicable document, “Underwriter Information” shall mean the written information furnished to the Company by such Underwriter through the Representatives expressly for use therein; it being understood and agreed upon that the only such information furnished by any Underwriter consists of the following information in the Preliminary Prospectus and the Prospectus furnished on behalf of each Underwriter: the concession and reallowance figures appearing in the [fifth] paragraph under the caption “Underwriting”, and the information contained in the [tenth], [eleventh] and [twelfth] paragraphs under the caption “Underwriting”.</w:t>
      </w:r>
    </w:p>
    <w:p>
      <w:pPr>
        <w:spacing w:after="0" w:line="152" w:lineRule="exact"/>
        <w:rPr>
          <w:rFonts w:ascii="Times New Roman" w:cs="Times New Roman" w:eastAsia="Times New Roman" w:hAnsi="Times New Roman"/>
          <w:sz w:val="14"/>
          <w:szCs w:val="14"/>
          <w:color w:val="auto"/>
        </w:rPr>
      </w:pPr>
    </w:p>
    <w:p>
      <w:pPr>
        <w:ind w:left="260" w:right="319" w:firstLine="765"/>
        <w:spacing w:after="0" w:line="255" w:lineRule="auto"/>
        <w:tabs>
          <w:tab w:leader="none" w:pos="122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Promptly after receipt by an indemnified party under subsection (a), (b) or (c) above of notice of the commencement of any action, such indemnified party shall, if a claim in respect thereof is to be made against the indemnifying party under such subsection, notify the indemnifying party in writing of the commencement thereof; provided that the failure to notify the indemnifying party shall not relieve it from any liability that it may have under the preceding paragraphs of this Section 10 except to the extent that it has been materially prejudiced (through the forfeiture of substantive rights or defenses) by such failure; and provided further that the failure</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9019"/>
          </w:cols>
          <w:pgMar w:left="1440" w:top="239" w:right="1440" w:bottom="1440" w:gutter="0" w:footer="0" w:header="0"/>
        </w:sectPr>
      </w:pPr>
    </w:p>
    <w:bookmarkStart w:id="121" w:name="page122"/>
    <w:bookmarkEnd w:id="121"/>
    <w:p>
      <w:pPr>
        <w:ind w:left="260" w:right="279"/>
        <w:spacing w:after="0" w:line="25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to notify the indemnifying party shall not relieve it from any liability that it may have to an indemnified party otherwise than under the preceding paragraphs of this Section 10.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reasonably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 It is understood that the indemnifying party or parties shall not, in connection with any one action or proceeding or separate but substantially similar actions or proceedings arising out of the same general allegations, be liable for the fees and expenses of more than one separate firm of attorneys at any time for all indemnified parties except to the extent that local counsel or counsel with specialized expertise (in addition to any regular counsel) is required to effectively defend against any such action or proceeding.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145" w:lineRule="exact"/>
        <w:rPr>
          <w:sz w:val="20"/>
          <w:szCs w:val="20"/>
          <w:color w:val="auto"/>
        </w:rPr>
      </w:pPr>
    </w:p>
    <w:p>
      <w:pPr>
        <w:ind w:left="260" w:right="279" w:firstLine="765"/>
        <w:spacing w:after="0" w:line="249" w:lineRule="auto"/>
        <w:tabs>
          <w:tab w:leader="none" w:pos="1212"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the indemnification provided for in this Section 10 is unavailable to or insufficient to hold harmless an indemnified party under subsection (a), (b) or (c)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Medline Parties and the Selling Stockholders on the one hand and the Underwriters on the other from the offering of the Shares. If, however, the allocation provided by the immediately preceding sentence is not permitted by applicable law, then each indemnifying party shall contribute to such amount paid or payable by such indemnified party in such proportion as is appropriate to reflect not only such relative benefits but also the total relative fault of the Medline Parties and the Selling Stockholders on the one hand and the Underwriters on the other in connection with the statements or omissions which resulted in such losses, claims, damages or liabilities (or actions in respect thereof), as well as any other relevant equitable considerations. The relative benefits received by the Medline Parties and the Selling Stockholders on the one hand and the Underwriters on the other shall be deemed to be in the same proportion as the total net proceeds from the offering (before deducting expenses) received by the Selling Stockholders bear to the total underwriting discounts and commissions received by the Underwriters,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Medline Parties or the Selling Stockholders on the one hand or the Underwriters on the other and the parties’ relative intent, knowledge, access to information and opportunity to correct or prevent such statement or omission. The Medline Parties, each of the Selling Stockholders and the Underwriters agree that it would not be just and equitable if contribution pursuant to this subsection (d) were determined by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allocation (even if the Underwriters were treated as one entity for such purpose) or by</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9019"/>
          </w:cols>
          <w:pgMar w:left="1440" w:top="239" w:right="1440" w:bottom="1440" w:gutter="0" w:footer="0" w:header="0"/>
        </w:sectPr>
      </w:pPr>
    </w:p>
    <w:bookmarkStart w:id="122" w:name="page123"/>
    <w:bookmarkEnd w:id="122"/>
    <w:p>
      <w:pPr>
        <w:ind w:left="260" w:right="319"/>
        <w:spacing w:after="0" w:line="27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any other method of allocation which does not take account of the equitable considerations referred to above in this subsection (e). The amount paid or payable by an indemnified party as a result of the losses, claims, damages or liabilities (or actions in respect thereof) referred to above in this subsection</w:t>
      </w:r>
    </w:p>
    <w:p>
      <w:pPr>
        <w:ind w:left="260" w:right="319" w:firstLine="2"/>
        <w:spacing w:after="0" w:line="249" w:lineRule="auto"/>
        <w:tabs>
          <w:tab w:leader="none" w:pos="449"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shall be deemed to include any legal or other expenses reasonably incurred by such indemnified party in connection with investigating or defending any such action or claim. Notwithstanding the provisions of this subsection (e), no Underwriter shall be required to contribute any amount in excess of the amount by which the total underwriting discounts and commissions received by such Underwriter with respect to the offering of the Shares to the public exceeds the amount of any damages which such Underwriter has otherwise been required to pay by reason of such untrue or alleged untrue statement or omission or alleged omission and (ii) each Selling Stockholder’s obligation to contribute any amount under this Section 10(e) is limited in the manner and to the extent set forth in Section 10(b) and such Selling Stockholder shall not be required to contribute any amount in excess of such Selling Stockholder’s Proceeds. No person guilty of fraudulent misrepresentation (within the meaning of Section 11(f) of the Act) shall be entitled to contribution from any person who was not guilty of such fraudulent misrepresentation. The Underwriters’ obligations in this subsection (e) to contribute are several in proportion to their respective underwriting obligations and not joint.</w:t>
      </w:r>
    </w:p>
    <w:p>
      <w:pPr>
        <w:spacing w:after="0" w:line="145" w:lineRule="exact"/>
        <w:rPr>
          <w:rFonts w:ascii="Times New Roman" w:cs="Times New Roman" w:eastAsia="Times New Roman" w:hAnsi="Times New Roman"/>
          <w:sz w:val="14"/>
          <w:szCs w:val="14"/>
          <w:color w:val="auto"/>
        </w:rPr>
      </w:pPr>
    </w:p>
    <w:p>
      <w:pPr>
        <w:ind w:left="260" w:right="439" w:firstLine="765"/>
        <w:spacing w:after="0" w:line="253" w:lineRule="auto"/>
        <w:tabs>
          <w:tab w:leader="none" w:pos="1197" w:val="left"/>
        </w:tabs>
        <w:numPr>
          <w:ilvl w:val="2"/>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obligations of the Medline Parties and the Selling Stockholders under this Section 10 shall be in addition to any liability which such Medline Party and the Selling Stockholders may otherwise have and shall extend, upon the same terms and conditions, to each employee, officer and director of each Underwriter and each person, if any, who controls any Underwriter within the meaning of the Act and each broker-dealer or other affiliate of any Underwriter; and the obligations of the Underwriters under this Section 10 shall be in addition to any liability which the respective Underwriters may otherwise have and shall extend, upon the same terms and conditions, to each officer and director of the Company (including any person who, with his or her consent, is named in the Registration Statement as about to become a director of the Company) and to each person, if any, who controls the Company or any Selling Stockholder within the meaning of the Act.</w:t>
      </w:r>
    </w:p>
    <w:p>
      <w:pPr>
        <w:spacing w:after="0" w:line="142" w:lineRule="exact"/>
        <w:rPr>
          <w:rFonts w:ascii="Times New Roman" w:cs="Times New Roman" w:eastAsia="Times New Roman" w:hAnsi="Times New Roman"/>
          <w:sz w:val="14"/>
          <w:szCs w:val="14"/>
          <w:color w:val="auto"/>
        </w:rPr>
      </w:pPr>
    </w:p>
    <w:p>
      <w:pPr>
        <w:ind w:left="260" w:right="319" w:firstLine="341"/>
        <w:spacing w:after="0" w:line="250" w:lineRule="auto"/>
        <w:tabs>
          <w:tab w:leader="none" w:pos="802" w:val="left"/>
        </w:tabs>
        <w:numPr>
          <w:ilvl w:val="1"/>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If any Underwriter shall default in its obligation to purchase the Shares which it has agreed to purchase hereunder at a Time of Delivery, the Representatives may in their discretion arrange for the Representatives or another party or other parties to purchase such Shares on the terms contained herein. If within thirty-six hours after such default by any Underwriter, the Representatives do not arrange for the purchase of such Shares, then the Company and the Selling Stockholders shall be entitled to a further period of thirty-six hours within which to procure another party or other parties reasonably satisfactory to the Representatives to purchase such Shares on such terms. In the event that, within the respective prescribed periods, the Representatives notify the Company and the Selling Stockholders that they have so arranged for the purchase of such Shares, or the Company or a Selling Stockholder notifies the Representatives that it has so arranged for the purchase of such Shares, the Representatives or the Company or the Selling Stockholders shall have the right to postpone such Time of Delivery for a period of not more than seven days, in order to effect whatever changes may thereby be made necessary in the Registration Statement or the Prospectus, or in any other documents or arrangements, and the Company agrees to file promptly any amendments or supplements to the Registration Statement or the Prospectus which in the Representatives’ opinion may thereby be made necessary. The term “Underwriter” as used in this Agreement shall include any person substituted under this Section 11 with like effect as if such person had originally been a party to this Agreement with respect to such Shares.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9019"/>
          </w:cols>
          <w:pgMar w:left="1440" w:top="239" w:right="1440" w:bottom="1440" w:gutter="0" w:footer="0" w:header="0"/>
        </w:sectPr>
      </w:pPr>
    </w:p>
    <w:bookmarkStart w:id="123" w:name="page124"/>
    <w:bookmarkEnd w:id="123"/>
    <w:p>
      <w:pPr>
        <w:ind w:left="260" w:right="379" w:firstLine="341"/>
        <w:spacing w:after="0" w:line="253" w:lineRule="auto"/>
        <w:tabs>
          <w:tab w:leader="none" w:pos="796"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If, after giving effect to any arrangements for the purchase of the Shares of a defaulting Underwriter or Underwriters by the Representatives and the Company and the Selling Stockholders as provided in subsection (a) above, the aggregate number of such Shares which remains unpurchased does not exceed one-eleventh of the aggregate number of all the Shares to be purchased at such Time of Delivery, then the Selling Stockholders shall have the right to require each non-defaulting Underwriter to purchase the number of Shares which such Underwriter agreed to purchase hereunder at such Time of Delivery and, in addition, to require each non-defaulting Underwriter to purchase its pro rata share (based on the number of Shares which such Underwriter agreed to purchase hereunder) of the Shares of such defaulting Underwriter or Underwriters for which such arrangements have not been made; but nothing herein shall relieve a defaulting Underwriter from liability for its default.</w:t>
      </w:r>
    </w:p>
    <w:p>
      <w:pPr>
        <w:spacing w:after="0" w:line="142" w:lineRule="exact"/>
        <w:rPr>
          <w:rFonts w:ascii="Times New Roman" w:cs="Times New Roman" w:eastAsia="Times New Roman" w:hAnsi="Times New Roman"/>
          <w:sz w:val="14"/>
          <w:szCs w:val="14"/>
          <w:color w:val="auto"/>
        </w:rPr>
      </w:pPr>
    </w:p>
    <w:p>
      <w:pPr>
        <w:ind w:left="260" w:right="279" w:firstLine="341"/>
        <w:spacing w:after="0" w:line="274" w:lineRule="auto"/>
        <w:tabs>
          <w:tab w:leader="none" w:pos="788" w:val="left"/>
        </w:tabs>
        <w:numPr>
          <w:ilvl w:val="0"/>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after giving effect to any arrangements for the purchase of the Shares of a defaulting Underwriter or Underwriters by the Representatives and the Company and the Selling Stockholders as provided in subsection (a) above, the aggregate number of such Shares which remains unpurchased exceeds one-eleventh of the aggregate number of all the Shares to be purchased at such Time of Delivery, or if the Selling Stockholders shall not exercise the right described in subsection (b) above to require non-defaulting Underwriters to purchase Shares of a defaulting Underwriter or Underwriters, then this Agreement (or, with respect to the Second Time of Delivery, the obligations of the Underwriters to purchase and of the Company to sell the Optional Shares) shall thereupon terminate, without liability on the part of any non-defaulting Underwriter or the Company or the Selling Stockholders, except for the expenses to be borne by the Company, the Selling Stockholders and the Underwriters as provided in Section 8 hereof and the indemnity and contribution agreements in Section 10 hereof; but nothing herein shall relieve a defaulting Underwriter from liability for its default.</w:t>
      </w:r>
    </w:p>
    <w:p>
      <w:pPr>
        <w:spacing w:after="0" w:line="132" w:lineRule="exact"/>
        <w:rPr>
          <w:sz w:val="20"/>
          <w:szCs w:val="20"/>
          <w:color w:val="auto"/>
        </w:rPr>
      </w:pPr>
    </w:p>
    <w:p>
      <w:pPr>
        <w:ind w:left="260" w:right="359" w:firstLine="341"/>
        <w:spacing w:after="0" w:line="254" w:lineRule="auto"/>
        <w:tabs>
          <w:tab w:leader="none" w:pos="807"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respective indemnities, rights of contribution, agreements, representations, warranties and other statements of the Medline Parties, or any Selling Stockholder,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director, officer, employee, affiliate or any controlling person of any Underwriter, the Medline Parties, or any of the Selling Stockholders, or any officer or director or controlling person of the Medline Parties, or any controlling person of any of the Selling Stockholders and shall survive delivery of and payment for the Shares.</w:t>
      </w:r>
    </w:p>
    <w:p>
      <w:pPr>
        <w:spacing w:after="0" w:line="142" w:lineRule="exact"/>
        <w:rPr>
          <w:rFonts w:ascii="Times New Roman" w:cs="Times New Roman" w:eastAsia="Times New Roman" w:hAnsi="Times New Roman"/>
          <w:sz w:val="14"/>
          <w:szCs w:val="14"/>
          <w:color w:val="auto"/>
        </w:rPr>
      </w:pPr>
    </w:p>
    <w:p>
      <w:pPr>
        <w:ind w:left="260" w:right="319" w:firstLine="341"/>
        <w:spacing w:after="0" w:line="253" w:lineRule="auto"/>
        <w:tabs>
          <w:tab w:leader="none" w:pos="807"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this Agreement shall be terminated pursuant to Section 11 hereof, neither the Medline Parties nor the Selling Stockholders shall then be under any liability to any Underwriter except as provided in Sections 8 and 10 hereof; but, if for any other reason, any Shares are not delivered by or on behalf of the Selling Stockholders as provided herein or the Underwriters decline to purchase the Shares for any reason permitted under this Agreement, each Medline Party jointly and severally agrees to reimburse the Underwriters through the Representatives for all accountable and documented out-of-pocket expenses approved in writing by the Representatives, including fees and disbursements of counsel, actually incurred by the Underwriters in making preparations for the purchase, sale and delivery of the Shares not so delivered, but the Medline Parties and the Selling Stockholders shall then be under no further liability to any Underwriter except as provided in Sections 8 and 10 hereof.</w:t>
      </w:r>
    </w:p>
    <w:p>
      <w:pPr>
        <w:spacing w:after="0" w:line="142" w:lineRule="exact"/>
        <w:rPr>
          <w:rFonts w:ascii="Times New Roman" w:cs="Times New Roman" w:eastAsia="Times New Roman" w:hAnsi="Times New Roman"/>
          <w:sz w:val="14"/>
          <w:szCs w:val="14"/>
          <w:color w:val="auto"/>
        </w:rPr>
      </w:pPr>
    </w:p>
    <w:p>
      <w:pPr>
        <w:ind w:left="260" w:right="339" w:firstLine="341"/>
        <w:spacing w:after="0" w:line="258" w:lineRule="auto"/>
        <w:tabs>
          <w:tab w:leader="none" w:pos="807"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all dealings hereunder, the Representatives shall act on behalf of each of the Underwriters, and the parties hereto shall be entitled to act and rely upon any statement, request, notice or agreement on behalf of any Underwriter made or given by the Representatives; and in dealings with any Selling Stockholder hereunder, you and the Medline Parties shall be entitled to act and rely upon any statement, request, notice or agreement given by such Selling Stockholder.</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9019"/>
          </w:cols>
          <w:pgMar w:left="1440" w:top="239" w:right="1440" w:bottom="1440" w:gutter="0" w:footer="0" w:header="0"/>
        </w:sectPr>
      </w:pPr>
    </w:p>
    <w:bookmarkStart w:id="124" w:name="page125"/>
    <w:bookmarkEnd w:id="124"/>
    <w:p>
      <w:pPr>
        <w:ind w:left="60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All statements, requests, notices and agreements hereunder shall be in writing, and if to the Underwriters shall be delivered or sent by mail, telex</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or facsimile transmission to the Representatives in care of [Goldman Sachs &amp; Co. LLC, 200 West Street, New York, New York 10282-2198, Attention:</w:t>
      </w:r>
    </w:p>
    <w:p>
      <w:pPr>
        <w:spacing w:after="0" w:line="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Registration Department; Morgan Stanley &amp; Co. LLC, 1585 Broadway, New York, New York 10036, Attention: Equity Syndicate Desk, with a copy to</w:t>
      </w:r>
    </w:p>
    <w:p>
      <w:pPr>
        <w:spacing w:after="0" w:line="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Legal Department at the same address; BofA Securities, Inc. One Bryant Park New York, New York 10036, Email:</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dg.ecm_execution_services@bofa.com, Attention: Syndicate Department with a copy to: Email: dg.ecm_legal@bofa.com, Attention: ECM Legal; J.P.</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Morgan Securities LLC, 270 Park Avenue, New York, New York 10017 (fax: (212) 622-8358), Attention Equity Syndicate Desk]; and if to the Medline</w:t>
      </w:r>
    </w:p>
    <w:p>
      <w:pPr>
        <w:spacing w:after="0" w:line="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Parties shall be delivered or sent by mail, telex or facsimile transmission to the address of the Company set forth in the Registration Statement,</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Attention: Chief Legal Officer; and if to the Selling Stockholders shall be delivered or sent by mail, telex or facsimile transmission to the addresses set</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forth in Schedule II hereto; provided, however, that any notice to an Underwriter pursuant to Section 10(c) hereof shall be delivered or sent by mail,</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telex or facsimile transmission to such Underwriter at its address set forth in its Underwriters’ Questionnaire, or telex constituting such Questionnaire,</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which address will be supplied to the Medline Parties by the Representatives upon request. Any such statements, requests, notices or agreements shall</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take effect upon receipt thereof.</w:t>
      </w:r>
    </w:p>
    <w:p>
      <w:pPr>
        <w:spacing w:after="0" w:line="157" w:lineRule="exact"/>
        <w:rPr>
          <w:sz w:val="20"/>
          <w:szCs w:val="20"/>
          <w:color w:val="auto"/>
        </w:rPr>
      </w:pPr>
    </w:p>
    <w:p>
      <w:pPr>
        <w:ind w:left="260" w:right="299" w:firstLine="339"/>
        <w:spacing w:after="0" w:line="258" w:lineRule="auto"/>
        <w:rPr>
          <w:sz w:val="20"/>
          <w:szCs w:val="20"/>
          <w:color w:val="auto"/>
        </w:rPr>
      </w:pPr>
      <w:r>
        <w:rPr>
          <w:rFonts w:ascii="Times New Roman" w:cs="Times New Roman" w:eastAsia="Times New Roman" w:hAnsi="Times New Roman"/>
          <w:sz w:val="14"/>
          <w:szCs w:val="14"/>
          <w:color w:val="auto"/>
        </w:rPr>
        <w:t>In accordance with the requirements of the USA Patriot Act (Title III of Pub. L. 107-56 (signed into law October 26, 2001)), the Underwriters are required to obtain, verify and record information that identifies their respective clients, including each Medline Party and the Selling Stockholders, which information may include the name and address of their respective clients, as well as other information that will allow the Underwriters to properly identify their respective clients.</w:t>
      </w:r>
    </w:p>
    <w:p>
      <w:pPr>
        <w:spacing w:after="0" w:line="140" w:lineRule="exact"/>
        <w:rPr>
          <w:sz w:val="20"/>
          <w:szCs w:val="20"/>
          <w:color w:val="auto"/>
        </w:rPr>
      </w:pPr>
    </w:p>
    <w:p>
      <w:pPr>
        <w:ind w:left="260" w:right="319" w:firstLine="341"/>
        <w:spacing w:after="0" w:line="255" w:lineRule="auto"/>
        <w:tabs>
          <w:tab w:leader="none" w:pos="807" w:val="left"/>
        </w:tabs>
        <w:numPr>
          <w:ilvl w:val="1"/>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Recognition of the U.S. Special Resolution Regimes.</w:t>
      </w:r>
      <w:r>
        <w:rPr>
          <w:rFonts w:ascii="Times New Roman" w:cs="Times New Roman" w:eastAsia="Times New Roman" w:hAnsi="Times New Roman"/>
          <w:sz w:val="14"/>
          <w:szCs w:val="14"/>
          <w:color w:val="auto"/>
        </w:rPr>
        <w:t xml:space="preserve"> (a) In the event that any Underwriter that is a Covered Entity (as defined below) becomes subject to a proceeding under a U.S. Special Resolution Regime (as defined below),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42" w:lineRule="exact"/>
        <w:rPr>
          <w:rFonts w:ascii="Times New Roman" w:cs="Times New Roman" w:eastAsia="Times New Roman" w:hAnsi="Times New Roman"/>
          <w:sz w:val="14"/>
          <w:szCs w:val="14"/>
          <w:color w:val="auto"/>
        </w:rPr>
      </w:pPr>
    </w:p>
    <w:p>
      <w:pPr>
        <w:ind w:left="260" w:right="319" w:firstLine="765"/>
        <w:spacing w:after="0" w:line="258" w:lineRule="auto"/>
        <w:tabs>
          <w:tab w:leader="none" w:pos="1220" w:val="left"/>
        </w:tabs>
        <w:numPr>
          <w:ilvl w:val="2"/>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(as defined below) could be exercised under the U.S. Special Resolution Regime if this Agreement were governed by the laws of the United States or a state of the United States.</w:t>
      </w:r>
    </w:p>
    <w:p>
      <w:pPr>
        <w:spacing w:after="0" w:line="139" w:lineRule="exact"/>
        <w:rPr>
          <w:rFonts w:ascii="Times New Roman" w:cs="Times New Roman" w:eastAsia="Times New Roman" w:hAnsi="Times New Roman"/>
          <w:sz w:val="14"/>
          <w:szCs w:val="14"/>
          <w:color w:val="auto"/>
        </w:rPr>
      </w:pPr>
    </w:p>
    <w:p>
      <w:pPr>
        <w:ind w:left="260" w:right="279" w:firstLine="765"/>
        <w:spacing w:after="0" w:line="271" w:lineRule="auto"/>
        <w:tabs>
          <w:tab w:leader="none" w:pos="1212" w:val="left"/>
        </w:tabs>
        <w:numPr>
          <w:ilvl w:val="2"/>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purposes of this Section a “</w:t>
      </w:r>
      <w:r>
        <w:rPr>
          <w:rFonts w:ascii="Times New Roman" w:cs="Times New Roman" w:eastAsia="Times New Roman" w:hAnsi="Times New Roman"/>
          <w:sz w:val="13"/>
          <w:szCs w:val="13"/>
          <w:u w:val="single" w:color="auto"/>
          <w:color w:val="auto"/>
        </w:rPr>
        <w:t>BHC Act Affiliate</w:t>
      </w:r>
      <w:r>
        <w:rPr>
          <w:rFonts w:ascii="Times New Roman" w:cs="Times New Roman" w:eastAsia="Times New Roman" w:hAnsi="Times New Roman"/>
          <w:sz w:val="13"/>
          <w:szCs w:val="13"/>
          <w:color w:val="auto"/>
        </w:rPr>
        <w:t>” has the meaning as signed to the term “affiliate” in, and shall be interpreted in accordance with, 12 U.S.C. § 1841(k). “</w:t>
      </w:r>
      <w:r>
        <w:rPr>
          <w:rFonts w:ascii="Times New Roman" w:cs="Times New Roman" w:eastAsia="Times New Roman" w:hAnsi="Times New Roman"/>
          <w:sz w:val="13"/>
          <w:szCs w:val="13"/>
          <w:u w:val="single" w:color="auto"/>
          <w:color w:val="auto"/>
        </w:rPr>
        <w:t>Covered Entity</w:t>
      </w:r>
      <w:r>
        <w:rPr>
          <w:rFonts w:ascii="Times New Roman" w:cs="Times New Roman" w:eastAsia="Times New Roman" w:hAnsi="Times New Roman"/>
          <w:sz w:val="13"/>
          <w:szCs w:val="13"/>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Times New Roman" w:cs="Times New Roman" w:eastAsia="Times New Roman" w:hAnsi="Times New Roman"/>
          <w:sz w:val="13"/>
          <w:szCs w:val="13"/>
          <w:u w:val="single" w:color="auto"/>
          <w:color w:val="auto"/>
        </w:rPr>
        <w:t>Default Right</w:t>
      </w:r>
      <w:r>
        <w:rPr>
          <w:rFonts w:ascii="Times New Roman" w:cs="Times New Roman" w:eastAsia="Times New Roman" w:hAnsi="Times New Roman"/>
          <w:sz w:val="13"/>
          <w:szCs w:val="13"/>
          <w:color w:val="auto"/>
        </w:rPr>
        <w:t>” has the meaning assigned to that term in, and shall be interpreted in accordance with, 12 C.F.R. §§ 252.81, 47.2 or 382.1, as applicable. “</w:t>
      </w:r>
      <w:r>
        <w:rPr>
          <w:rFonts w:ascii="Times New Roman" w:cs="Times New Roman" w:eastAsia="Times New Roman" w:hAnsi="Times New Roman"/>
          <w:sz w:val="13"/>
          <w:szCs w:val="13"/>
          <w:u w:val="single" w:color="auto"/>
          <w:color w:val="auto"/>
        </w:rPr>
        <w:t>U.S. Special Resolution Regime</w:t>
      </w:r>
      <w:r>
        <w:rPr>
          <w:rFonts w:ascii="Times New Roman" w:cs="Times New Roman" w:eastAsia="Times New Roman" w:hAnsi="Times New Roman"/>
          <w:sz w:val="13"/>
          <w:szCs w:val="13"/>
          <w:color w:val="auto"/>
        </w:rPr>
        <w:t>” means each of</w:t>
      </w:r>
    </w:p>
    <w:p>
      <w:pPr>
        <w:spacing w:after="0" w:line="2" w:lineRule="exact"/>
        <w:rPr>
          <w:rFonts w:ascii="Times New Roman" w:cs="Times New Roman" w:eastAsia="Times New Roman" w:hAnsi="Times New Roman"/>
          <w:sz w:val="13"/>
          <w:szCs w:val="13"/>
          <w:color w:val="auto"/>
        </w:rPr>
      </w:pPr>
    </w:p>
    <w:p>
      <w:pPr>
        <w:ind w:left="260" w:right="379" w:firstLine="2"/>
        <w:spacing w:after="0" w:line="256" w:lineRule="auto"/>
        <w:tabs>
          <w:tab w:leader="none" w:pos="426"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Deposit Insurance Act and the regulations promulgated thereunder and (ii) Title II of the Dodd-Frank Wall Street Reform and Consumer Protection Act and the regulations promulgated thereunder.</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9019"/>
          </w:cols>
          <w:pgMar w:left="1440" w:top="239" w:right="1440" w:bottom="1440" w:gutter="0" w:footer="0" w:header="0"/>
        </w:sectPr>
      </w:pPr>
    </w:p>
    <w:bookmarkStart w:id="125" w:name="page126"/>
    <w:bookmarkEnd w:id="125"/>
    <w:p>
      <w:pPr>
        <w:ind w:left="260" w:right="279" w:firstLine="341"/>
        <w:spacing w:after="0" w:line="255" w:lineRule="auto"/>
        <w:tabs>
          <w:tab w:leader="none" w:pos="807"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This Agreement shall be binding upon, and inure solely to the benefit of, the Underwriters, the Medline Parties and the Selling Stockholders, and, to the extent provided in Sections 10 and 12 hereof, the officers and directors of the Medline Parties and each person who controls the Medline Parties, any Selling Stockholder or any Underwriter, or any director, officer, employee or affiliate of any Underwriter, and their respective heirs, executors, administrators, successors and assigns, and no other person shall acquire or have any right under or by virtue of this Agreement. No purchaser of any of the Shares from any Underwriter shall be deemed a successor or assign by reason merely of such purchase.</w:t>
      </w:r>
    </w:p>
    <w:p>
      <w:pPr>
        <w:spacing w:after="0" w:line="142" w:lineRule="exact"/>
        <w:rPr>
          <w:rFonts w:ascii="Times New Roman" w:cs="Times New Roman" w:eastAsia="Times New Roman" w:hAnsi="Times New Roman"/>
          <w:sz w:val="14"/>
          <w:szCs w:val="14"/>
          <w:color w:val="auto"/>
        </w:rPr>
      </w:pPr>
    </w:p>
    <w:p>
      <w:pPr>
        <w:ind w:left="260" w:right="359" w:firstLine="341"/>
        <w:spacing w:after="0" w:line="278" w:lineRule="auto"/>
        <w:tabs>
          <w:tab w:leader="none" w:pos="807"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Time shall be of the essence of this Agreement. As used herein, the term “business day” shall mean any day when the Commission’s office in Washington, D.C. is open for business.</w:t>
      </w:r>
    </w:p>
    <w:p>
      <w:pPr>
        <w:spacing w:after="0" w:line="126" w:lineRule="exact"/>
        <w:rPr>
          <w:rFonts w:ascii="Times New Roman" w:cs="Times New Roman" w:eastAsia="Times New Roman" w:hAnsi="Times New Roman"/>
          <w:sz w:val="14"/>
          <w:szCs w:val="14"/>
          <w:color w:val="auto"/>
        </w:rPr>
      </w:pPr>
    </w:p>
    <w:p>
      <w:pPr>
        <w:ind w:left="260" w:right="279" w:firstLine="341"/>
        <w:spacing w:after="0" w:line="250" w:lineRule="auto"/>
        <w:tabs>
          <w:tab w:leader="none" w:pos="807"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and each Selling Stockholder acknowledges and agrees that (i) the purchase and sale of the Shares pursuant to this Agreement is an arm’s-length commercial transaction between the Selling Stockholders, on the one hand, and the several Underwriters, on the other, (ii) in connection therewith and with the process leading to such transaction each Underwriter is acting solely as a principal and not the agent or fiduciary of the Selling Stockholders, (iii) no Underwriter has assumed an advisory or fiduciary responsibility in favor of the Medline Parties or any Selling Stockholder with respect to the offering contemplated hereby or the process leading thereto (irrespective of whether such Underwriter has advised or is currently advising the Medline Parties or any Selling Stockholder on other matters) or any other obligation to the Medline Parties or any Selling Stockholder except the obligations expressly set forth in this Agreement, (iv) each Medline Party and each Selling Stockholder has consulted its own legal and financial advisors to the extent it deemed appropriate and (v) none of the activities of the Underwriters in connection with the transactions contemplated herein constitutes a recommendation, investment advice, or solicitation of any action by the Underwriters with respect to any entity or natural person. Each Medline Party and each Selling Stockholder agrees that it will not claim that the Underwriters, or any of them, has rendered advisory services of any nature or respect, or owes a fiduciary or similar duty to such Medline Party or Selling Stockholder in connection with such transaction or the process leading thereto.</w:t>
      </w:r>
    </w:p>
    <w:p>
      <w:pPr>
        <w:spacing w:after="0" w:line="150" w:lineRule="exact"/>
        <w:rPr>
          <w:sz w:val="20"/>
          <w:szCs w:val="20"/>
          <w:color w:val="auto"/>
        </w:rPr>
      </w:pPr>
    </w:p>
    <w:p>
      <w:pPr>
        <w:ind w:left="260" w:right="319" w:firstLine="339"/>
        <w:spacing w:after="0" w:line="255" w:lineRule="auto"/>
        <w:rPr>
          <w:sz w:val="20"/>
          <w:szCs w:val="20"/>
          <w:color w:val="auto"/>
        </w:rPr>
      </w:pPr>
      <w:r>
        <w:rPr>
          <w:rFonts w:ascii="Times New Roman" w:cs="Times New Roman" w:eastAsia="Times New Roman" w:hAnsi="Times New Roman"/>
          <w:sz w:val="14"/>
          <w:szCs w:val="14"/>
          <w:color w:val="auto"/>
        </w:rPr>
        <w:t>Moreover, each Selling Stockholder acknowledges and agrees that, although the Representatives may be required or choose to provide such Selling Stockholder with certain Regulation Best Interest and Form CRS disclosures or other related documentation in connection with the offering, the Representatives and the other Underwriters are not making a recommendation to any Selling Stockholder to participate in the offering, enter into a “lock-up” agreement, or sell any Shares at the price determined in the offering, and nothing set forth in such disclosures or documentation is intended to suggest that the Representatives or any Underwriter is making such a recommendation.</w:t>
      </w:r>
    </w:p>
    <w:p>
      <w:pPr>
        <w:spacing w:after="0" w:line="143" w:lineRule="exact"/>
        <w:rPr>
          <w:sz w:val="20"/>
          <w:szCs w:val="20"/>
          <w:color w:val="auto"/>
        </w:rPr>
      </w:pPr>
    </w:p>
    <w:p>
      <w:pPr>
        <w:ind w:left="260" w:right="759" w:firstLine="341"/>
        <w:spacing w:after="0" w:line="278" w:lineRule="auto"/>
        <w:tabs>
          <w:tab w:leader="none" w:pos="807"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supersedes all prior agreements and understandings (whether written or oral) between the Medline Parties, the Selling Stockholders and the Underwriters, or any of them, with respect to the subject matter hereof.</w:t>
      </w:r>
    </w:p>
    <w:p>
      <w:pPr>
        <w:spacing w:after="0" w:line="124" w:lineRule="exact"/>
        <w:rPr>
          <w:rFonts w:ascii="Times New Roman" w:cs="Times New Roman" w:eastAsia="Times New Roman" w:hAnsi="Times New Roman"/>
          <w:sz w:val="14"/>
          <w:szCs w:val="14"/>
          <w:color w:val="auto"/>
        </w:rPr>
      </w:pPr>
    </w:p>
    <w:p>
      <w:pPr>
        <w:ind w:left="260" w:right="299" w:firstLine="341"/>
        <w:spacing w:after="0" w:line="254" w:lineRule="auto"/>
        <w:tabs>
          <w:tab w:leader="none" w:pos="807"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This Agreement and any transaction contemplated by this Agreement and any claim, controversy or dispute arising under or related thereto shall be governed by and construed in accordance with the laws of the State of New York without regard to principles of conflict of laws that would result in the application of any other law than the laws of the State of New York. Each Medline Party and each Selling Stockholder agrees that any suit or proceeding arising in respect of this Agreement or any transaction contemplated by this Agreement (each, a “Related Proceeding”) will be tried exclusively in the U.S. District Court for the Southern District of New York or, if that court does not have subject matter jurisdiction, in any state court located in The City and County of New York (the “Specified</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9019"/>
          </w:cols>
          <w:pgMar w:left="1440" w:top="239" w:right="1440" w:bottom="1440" w:gutter="0" w:footer="0" w:header="0"/>
        </w:sectPr>
      </w:pPr>
    </w:p>
    <w:bookmarkStart w:id="126" w:name="page127"/>
    <w:bookmarkEnd w:id="126"/>
    <w:p>
      <w:pPr>
        <w:ind w:left="260" w:right="299"/>
        <w:spacing w:after="0" w:line="259"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4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Courts”) and each Medline Party and each Selling Stockholder agrees to submit to the jurisdiction of, and to venue in, such courts. Each Non-U.S. Selling Stockholder irrevocably waives, to the fullest extent permitted by law, any objection which it may now or hereafter have to the laying of venue of any Related Proceeding brought in such a court and any claim that any such Related Proceeding brought in such a court has been brought in an inconvenient forum.</w:t>
      </w:r>
    </w:p>
    <w:p>
      <w:pPr>
        <w:spacing w:after="0" w:line="139" w:lineRule="exact"/>
        <w:rPr>
          <w:sz w:val="20"/>
          <w:szCs w:val="20"/>
          <w:color w:val="auto"/>
        </w:rPr>
      </w:pPr>
    </w:p>
    <w:p>
      <w:pPr>
        <w:ind w:left="260" w:right="279" w:firstLine="341"/>
        <w:spacing w:after="0" w:line="254" w:lineRule="auto"/>
        <w:tabs>
          <w:tab w:leader="none" w:pos="807"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Non-U.S. Selling Stockholder hereby irrevocably appoints an agent for service of process in any Related Proceeding as set forth in Schedule II hereto and agrees that service of process in any such Related Proceeding may be made upon it at the office of such agent. Each of the Selling Stockholders waives, to the fullest extent permitted by law, any other requirements of or objections to personal jurisdiction with respect thereto. Each of the Selling Stockholders represents and warrants that such agent has agreed to act as the Selling Stockholders’ agent for service of process, and each of the Selling Stockholders agrees to take any and all action, including the filing of any and all documents and instruments, that may be necessary to continue such appointment in full force and effect.</w:t>
      </w:r>
    </w:p>
    <w:p>
      <w:pPr>
        <w:spacing w:after="0" w:line="142" w:lineRule="exact"/>
        <w:rPr>
          <w:rFonts w:ascii="Times New Roman" w:cs="Times New Roman" w:eastAsia="Times New Roman" w:hAnsi="Times New Roman"/>
          <w:sz w:val="14"/>
          <w:szCs w:val="14"/>
          <w:color w:val="auto"/>
        </w:rPr>
      </w:pPr>
    </w:p>
    <w:p>
      <w:pPr>
        <w:ind w:left="260" w:right="579" w:firstLine="341"/>
        <w:spacing w:after="0" w:line="263" w:lineRule="auto"/>
        <w:tabs>
          <w:tab w:leader="none" w:pos="807"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Medline Party, each Selling Stockholder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36" w:lineRule="exact"/>
        <w:rPr>
          <w:rFonts w:ascii="Times New Roman" w:cs="Times New Roman" w:eastAsia="Times New Roman" w:hAnsi="Times New Roman"/>
          <w:sz w:val="14"/>
          <w:szCs w:val="14"/>
          <w:color w:val="auto"/>
        </w:rPr>
      </w:pPr>
    </w:p>
    <w:p>
      <w:pPr>
        <w:ind w:left="260" w:right="279" w:firstLine="341"/>
        <w:spacing w:after="0" w:line="250" w:lineRule="auto"/>
        <w:tabs>
          <w:tab w:leader="none" w:pos="807"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for the purposes of obtaining judgment in any court it is necessary to convert a sum due hereunder into any currency other than United States dollars, the parties hereto agree, to the fullest extent permitted by law, that the rate of exchange used shall be the rate at which in accordance with normal banking procedures the Underwriters could purchase United States dollars with such other currency in The City of New York on the business day preceding that on which final judgment is given. Any Non-U.S. Selling Stockholder with respect to any sum due from it to any Underwriter or any person controlling any Underwriter shall, notwithstanding any judgment in a currency other than United States dollars, not be discharged until the first business day following receipt by such Underwriter or controlling person of any sum in such other currency, and only to the extent that such Underwriter or controlling person may in accordance with normal banking procedures purchase United States dollars with such other currency. If the United States dollars so purchased are less than the sum originally due to such Underwriter or controlling person hereunder, each Non-U.S. Selling Stockholder agrees as a separate obligation and notwithstanding any such judgment, to indemnify such Underwriter or controlling person against such loss. If the United States dollars so purchased are greater than the sum originally due to such Underwriter or controlling person hereunder, such Underwriter or controlling person agrees to pay to the relevant Non-U.S. Selling Stockholder(s), as applicable, an amount equal to the excess of the dollars so purchased over the sum originally due to such Underwriter or controlling person hereunder.</w:t>
      </w:r>
    </w:p>
    <w:p>
      <w:pPr>
        <w:spacing w:after="0" w:line="150" w:lineRule="exact"/>
        <w:rPr>
          <w:rFonts w:ascii="Times New Roman" w:cs="Times New Roman" w:eastAsia="Times New Roman" w:hAnsi="Times New Roman"/>
          <w:sz w:val="14"/>
          <w:szCs w:val="14"/>
          <w:color w:val="auto"/>
        </w:rPr>
      </w:pPr>
    </w:p>
    <w:p>
      <w:pPr>
        <w:ind w:left="260" w:right="299" w:firstLine="341"/>
        <w:spacing w:after="0" w:line="258" w:lineRule="auto"/>
        <w:tabs>
          <w:tab w:leader="none" w:pos="807"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any sum payable by a Non-U.S. Selling Stockholder under this Agreement is subject to tax in the hands of an Underwriter or taken into account as a receipt in computing the taxable income of that Underwriter (excluding net income taxes on underwriting commissions payable hereunder), the sum payable to the Underwriter under this Agreement shall be increased to such sum as will ensure that the Underwriter shall be left with the sum it would have had in the absence of such tax and such increase shall be the responsibility of such Non-U.S. Selling Stockholder.</w:t>
      </w:r>
    </w:p>
    <w:p>
      <w:pPr>
        <w:spacing w:after="0" w:line="139" w:lineRule="exact"/>
        <w:rPr>
          <w:rFonts w:ascii="Times New Roman" w:cs="Times New Roman" w:eastAsia="Times New Roman" w:hAnsi="Times New Roman"/>
          <w:sz w:val="14"/>
          <w:szCs w:val="14"/>
          <w:color w:val="auto"/>
        </w:rPr>
      </w:pPr>
    </w:p>
    <w:p>
      <w:pPr>
        <w:ind w:left="260" w:right="319" w:firstLine="341"/>
        <w:spacing w:after="0" w:line="255" w:lineRule="auto"/>
        <w:tabs>
          <w:tab w:leader="none" w:pos="807"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may be executed by any one or more of the parties hereto in any number of counterparts, each of which shall be deemed to be an original, but all such counterparts shall together constitute one and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9019"/>
          </w:cols>
          <w:pgMar w:left="1440" w:top="237" w:right="1440" w:bottom="1440" w:gutter="0" w:footer="0" w:header="0"/>
        </w:sectPr>
      </w:pPr>
    </w:p>
    <w:bookmarkStart w:id="127" w:name="page128"/>
    <w:bookmarkEnd w:id="127"/>
    <w:p>
      <w:pPr>
        <w:ind w:left="260" w:right="279" w:firstLine="341"/>
        <w:spacing w:after="0" w:line="254" w:lineRule="auto"/>
        <w:tabs>
          <w:tab w:leader="none" w:pos="807"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4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Notwithstanding anything herein to the contrary, each Medline Party and each Selling Stockholders is authorized to disclose to any persons the U.S. federal and state income tax treatment and tax structure of the potential transaction and all materials of any kind (including tax opinions and other tax analyses) provided to such Medline Party and Selling Stockholder relating to that treatment and structure, without the Underwriters imposing any limitation of any kind. However, any information relating to the tax treatment and tax structure shall remain confidential (and the foregoing sentence shall not apply) to the extent necessary to enable any person to comply with securities laws. For this purpose, “tax structure” is limited to any facts that may be relevant to that treatment.</w:t>
      </w:r>
    </w:p>
    <w:p>
      <w:pPr>
        <w:spacing w:after="0" w:line="142" w:lineRule="exact"/>
        <w:rPr>
          <w:rFonts w:ascii="Times New Roman" w:cs="Times New Roman" w:eastAsia="Times New Roman" w:hAnsi="Times New Roman"/>
          <w:sz w:val="14"/>
          <w:szCs w:val="14"/>
          <w:color w:val="auto"/>
        </w:rPr>
      </w:pPr>
    </w:p>
    <w:p>
      <w:pPr>
        <w:ind w:left="260" w:right="299" w:firstLine="341"/>
        <w:spacing w:after="0" w:line="252" w:lineRule="auto"/>
        <w:tabs>
          <w:tab w:leader="none" w:pos="807"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Without limiting the applicability of Section 3 hereof or any other provision of this Agreement, with respect to any Underwriter who is affiliated with any person or entity engaged to act as an investment adviser on behalf of a Selling Stockholder and/or on behalf of a client that has a direct or indirect interest in Shares being sold by any such Selling Stockholder, the Shares being sold to such Underwriter shall not include any shares of Stock attributable to such Selling Stockholder or any such advisory client, as the case may be, unless such Selling Stockholder or such advisory client has consented thereto. Accordingly, the fees or other amounts received by such Underwriter in connection with the transactions contemplated hereby shall not include any fees or other amounts attributable to any such advisory client unless that client has consented to the Underwriter’s participation in the transaction. To that end, the Shares being sold to such Underwriter shall not include any shares of Stock attributable to any such advisory client that has not provided consent, with any such Shares instead being allocated and sold to the other Underwriters.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[Signature pages follow]</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9019"/>
          </w:cols>
          <w:pgMar w:left="1440" w:top="239" w:right="1440" w:bottom="1440" w:gutter="0" w:footer="0" w:header="0"/>
        </w:sectPr>
      </w:pPr>
    </w:p>
    <w:bookmarkStart w:id="128" w:name="page129"/>
    <w:bookmarkEnd w:id="128"/>
    <w:p>
      <w:pPr>
        <w:ind w:left="53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4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Very truly yours,</w:t>
      </w:r>
    </w:p>
    <w:p>
      <w:pPr>
        <w:spacing w:after="0" w:line="170"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Medline Inc.</w:t>
      </w:r>
    </w:p>
    <w:p>
      <w:pPr>
        <w:spacing w:after="0" w:line="17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3662045</wp:posOffset>
            </wp:positionH>
            <wp:positionV relativeFrom="paragraph">
              <wp:posOffset>12700</wp:posOffset>
            </wp:positionV>
            <wp:extent cx="1894840" cy="63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3">
                      <a:extLst>
                        <a:ext uri="{28A0092B-C50C-407E-A947-70E740481C1C}"/>
                      </a:extLst>
                    </a:blip>
                    <a:srcRect/>
                    <a:stretch>
                      <a:fillRect/>
                    </a:stretch>
                  </pic:blipFill>
                  <pic:spPr bwMode="auto">
                    <a:xfrm>
                      <a:off x="0" y="0"/>
                      <a:ext cx="1894840" cy="6350"/>
                    </a:xfrm>
                    <a:prstGeom prst="rect">
                      <a:avLst/>
                    </a:prstGeom>
                    <a:noFill/>
                  </pic:spPr>
                </pic:pic>
              </a:graphicData>
            </a:graphic>
          </wp:anchor>
        </w:drawing>
      </w:r>
    </w:p>
    <w:p>
      <w:pPr>
        <w:spacing w:after="0" w:line="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w:t>
      </w:r>
    </w:p>
    <w:p>
      <w:pPr>
        <w:spacing w:after="0" w:line="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Title:</w:t>
      </w:r>
    </w:p>
    <w:p>
      <w:pPr>
        <w:spacing w:after="0" w:line="16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3"/>
          <w:szCs w:val="13"/>
          <w:b w:val="1"/>
          <w:bCs w:val="1"/>
          <w:color w:val="auto"/>
        </w:rPr>
        <w:t>Medline Holdings, LP</w:t>
      </w:r>
    </w:p>
    <w:p>
      <w:pPr>
        <w:spacing w:after="0" w:line="18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3662045</wp:posOffset>
            </wp:positionH>
            <wp:positionV relativeFrom="paragraph">
              <wp:posOffset>12700</wp:posOffset>
            </wp:positionV>
            <wp:extent cx="1894840" cy="63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44">
                      <a:extLst>
                        <a:ext uri="{28A0092B-C50C-407E-A947-70E740481C1C}"/>
                      </a:extLst>
                    </a:blip>
                    <a:srcRect/>
                    <a:stretch>
                      <a:fillRect/>
                    </a:stretch>
                  </pic:blipFill>
                  <pic:spPr bwMode="auto">
                    <a:xfrm>
                      <a:off x="0" y="0"/>
                      <a:ext cx="1894840" cy="6350"/>
                    </a:xfrm>
                    <a:prstGeom prst="rect">
                      <a:avLst/>
                    </a:prstGeom>
                    <a:noFill/>
                  </pic:spPr>
                </pic:pic>
              </a:graphicData>
            </a:graphic>
          </wp:anchor>
        </w:drawing>
      </w:r>
    </w:p>
    <w:p>
      <w:pPr>
        <w:spacing w:after="0" w:line="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w:t>
      </w:r>
    </w:p>
    <w:p>
      <w:pPr>
        <w:spacing w:after="0" w:line="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Title:</w:t>
      </w:r>
    </w:p>
    <w:p>
      <w:pPr>
        <w:sectPr>
          <w:pgSz w:w="11900" w:h="16838" w:orient="portrait"/>
          <w:cols w:equalWidth="0" w:num="1">
            <w:col w:w="9019"/>
          </w:cols>
          <w:pgMar w:left="1440" w:top="239" w:right="1440" w:bottom="1440" w:gutter="0" w:footer="0" w:header="0"/>
        </w:sectPr>
      </w:pPr>
    </w:p>
    <w:bookmarkStart w:id="129" w:name="page130"/>
    <w:bookmarkEnd w:id="129"/>
    <w:p>
      <w:pPr>
        <w:ind w:left="53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BX Mozart ML-1 Holdco L.P.</w:t>
      </w:r>
    </w:p>
    <w:p>
      <w:pPr>
        <w:spacing w:after="0" w:line="17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3"/>
          <w:szCs w:val="13"/>
          <w:color w:val="auto"/>
        </w:rPr>
        <w:t>By: BX Mozart ML-1 Holdco GP L.L.C., its general partner</w:t>
      </w:r>
    </w:p>
    <w:p>
      <w:pPr>
        <w:spacing w:after="0" w:line="18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3662045</wp:posOffset>
            </wp:positionH>
            <wp:positionV relativeFrom="paragraph">
              <wp:posOffset>12700</wp:posOffset>
            </wp:positionV>
            <wp:extent cx="1894840" cy="63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6">
                      <a:extLst>
                        <a:ext uri="{28A0092B-C50C-407E-A947-70E740481C1C}"/>
                      </a:extLst>
                    </a:blip>
                    <a:srcRect/>
                    <a:stretch>
                      <a:fillRect/>
                    </a:stretch>
                  </pic:blipFill>
                  <pic:spPr bwMode="auto">
                    <a:xfrm>
                      <a:off x="0" y="0"/>
                      <a:ext cx="1894840" cy="6350"/>
                    </a:xfrm>
                    <a:prstGeom prst="rect">
                      <a:avLst/>
                    </a:prstGeom>
                    <a:noFill/>
                  </pic:spPr>
                </pic:pic>
              </a:graphicData>
            </a:graphic>
          </wp:anchor>
        </w:drawing>
      </w:r>
    </w:p>
    <w:p>
      <w:pPr>
        <w:spacing w:after="0" w:line="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w:t>
      </w:r>
    </w:p>
    <w:p>
      <w:pPr>
        <w:spacing w:after="0" w:line="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Title:</w:t>
      </w:r>
    </w:p>
    <w:p>
      <w:pPr>
        <w:spacing w:after="0" w:line="16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Mozart Aggregator UNLV Holdco L.P.</w:t>
      </w:r>
    </w:p>
    <w:p>
      <w:pPr>
        <w:spacing w:after="0" w:line="17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BCP 8 Holdings Mozart Manager L.L.C., its general</w:t>
      </w:r>
    </w:p>
    <w:p>
      <w:pPr>
        <w:spacing w:after="0" w:line="2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partner</w:t>
      </w:r>
    </w:p>
    <w:p>
      <w:pPr>
        <w:spacing w:after="0" w:line="15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BMA VIII L.L.C., its managing member</w:t>
      </w:r>
    </w:p>
    <w:p>
      <w:pPr>
        <w:spacing w:after="0" w:line="17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3662045</wp:posOffset>
            </wp:positionH>
            <wp:positionV relativeFrom="paragraph">
              <wp:posOffset>12700</wp:posOffset>
            </wp:positionV>
            <wp:extent cx="1894840" cy="63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7">
                      <a:extLst>
                        <a:ext uri="{28A0092B-C50C-407E-A947-70E740481C1C}"/>
                      </a:extLst>
                    </a:blip>
                    <a:srcRect/>
                    <a:stretch>
                      <a:fillRect/>
                    </a:stretch>
                  </pic:blipFill>
                  <pic:spPr bwMode="auto">
                    <a:xfrm>
                      <a:off x="0" y="0"/>
                      <a:ext cx="1894840" cy="6350"/>
                    </a:xfrm>
                    <a:prstGeom prst="rect">
                      <a:avLst/>
                    </a:prstGeom>
                    <a:noFill/>
                  </pic:spPr>
                </pic:pic>
              </a:graphicData>
            </a:graphic>
          </wp:anchor>
        </w:drawing>
      </w:r>
    </w:p>
    <w:p>
      <w:pPr>
        <w:spacing w:after="0" w:line="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w:t>
      </w:r>
    </w:p>
    <w:p>
      <w:pPr>
        <w:spacing w:after="0" w:line="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Title:</w:t>
      </w:r>
    </w:p>
    <w:p>
      <w:pPr>
        <w:spacing w:after="0" w:line="18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BX Mozart ML-2 Holdco L.P.</w:t>
      </w:r>
    </w:p>
    <w:p>
      <w:pPr>
        <w:spacing w:after="0" w:line="17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3"/>
          <w:szCs w:val="13"/>
          <w:color w:val="auto"/>
        </w:rPr>
        <w:t>By: BX Mozart ML-2 Holdco GP L.L.C., its general partner</w:t>
      </w:r>
    </w:p>
    <w:p>
      <w:pPr>
        <w:spacing w:after="0" w:line="18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3662045</wp:posOffset>
            </wp:positionH>
            <wp:positionV relativeFrom="paragraph">
              <wp:posOffset>12700</wp:posOffset>
            </wp:positionV>
            <wp:extent cx="1894840" cy="63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8">
                      <a:extLst>
                        <a:ext uri="{28A0092B-C50C-407E-A947-70E740481C1C}"/>
                      </a:extLst>
                    </a:blip>
                    <a:srcRect/>
                    <a:stretch>
                      <a:fillRect/>
                    </a:stretch>
                  </pic:blipFill>
                  <pic:spPr bwMode="auto">
                    <a:xfrm>
                      <a:off x="0" y="0"/>
                      <a:ext cx="1894840" cy="6350"/>
                    </a:xfrm>
                    <a:prstGeom prst="rect">
                      <a:avLst/>
                    </a:prstGeom>
                    <a:noFill/>
                  </pic:spPr>
                </pic:pic>
              </a:graphicData>
            </a:graphic>
          </wp:anchor>
        </w:drawing>
      </w:r>
    </w:p>
    <w:p>
      <w:pPr>
        <w:spacing w:after="0" w:line="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w:t>
      </w:r>
    </w:p>
    <w:p>
      <w:pPr>
        <w:spacing w:after="0" w:line="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Title:</w:t>
      </w:r>
    </w:p>
    <w:p>
      <w:pPr>
        <w:spacing w:after="0" w:line="16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Mozart Aggregator II UNLV Holdco L.P.</w:t>
      </w:r>
    </w:p>
    <w:p>
      <w:pPr>
        <w:spacing w:after="0" w:line="17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Blackstone Management Associates VIII L.P., its</w:t>
      </w:r>
    </w:p>
    <w:p>
      <w:pPr>
        <w:spacing w:after="0" w:line="2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general partner</w:t>
      </w:r>
    </w:p>
    <w:p>
      <w:pPr>
        <w:spacing w:after="0" w:line="15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BMA VIII L.L.C., its general partner</w:t>
      </w:r>
    </w:p>
    <w:p>
      <w:pPr>
        <w:spacing w:after="0" w:line="17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3662045</wp:posOffset>
            </wp:positionH>
            <wp:positionV relativeFrom="paragraph">
              <wp:posOffset>12700</wp:posOffset>
            </wp:positionV>
            <wp:extent cx="1894840" cy="63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9">
                      <a:extLst>
                        <a:ext uri="{28A0092B-C50C-407E-A947-70E740481C1C}"/>
                      </a:extLst>
                    </a:blip>
                    <a:srcRect/>
                    <a:stretch>
                      <a:fillRect/>
                    </a:stretch>
                  </pic:blipFill>
                  <pic:spPr bwMode="auto">
                    <a:xfrm>
                      <a:off x="0" y="0"/>
                      <a:ext cx="1894840" cy="6350"/>
                    </a:xfrm>
                    <a:prstGeom prst="rect">
                      <a:avLst/>
                    </a:prstGeom>
                    <a:noFill/>
                  </pic:spPr>
                </pic:pic>
              </a:graphicData>
            </a:graphic>
          </wp:anchor>
        </w:drawing>
      </w:r>
    </w:p>
    <w:p>
      <w:pPr>
        <w:spacing w:after="0" w:line="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w:t>
      </w:r>
    </w:p>
    <w:p>
      <w:pPr>
        <w:spacing w:after="0" w:line="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Title:</w:t>
      </w:r>
    </w:p>
    <w:p>
      <w:pPr>
        <w:sectPr>
          <w:pgSz w:w="11900" w:h="16838" w:orient="portrait"/>
          <w:cols w:equalWidth="0" w:num="1">
            <w:col w:w="9019"/>
          </w:cols>
          <w:pgMar w:left="1440" w:top="237" w:right="1440" w:bottom="1440" w:gutter="0" w:footer="0" w:header="0"/>
        </w:sectPr>
      </w:pPr>
    </w:p>
    <w:bookmarkStart w:id="130" w:name="page131"/>
    <w:bookmarkEnd w:id="130"/>
    <w:p>
      <w:pPr>
        <w:ind w:left="536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5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Hellman &amp; Friedman Capital Partners X (Parellel), L.P.</w:t>
      </w:r>
    </w:p>
    <w:p>
      <w:pPr>
        <w:spacing w:after="0" w:line="18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Hellman &amp; Friedman Investors X, L.P., its general</w:t>
      </w:r>
    </w:p>
    <w:p>
      <w:pPr>
        <w:spacing w:after="0" w:line="2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partner</w:t>
      </w:r>
    </w:p>
    <w:p>
      <w:pPr>
        <w:spacing w:after="0" w:line="15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H&amp;F Corporate Investors X, Ltd., its general partner</w:t>
      </w:r>
    </w:p>
    <w:p>
      <w:pPr>
        <w:spacing w:after="0" w:line="17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3662045</wp:posOffset>
            </wp:positionH>
            <wp:positionV relativeFrom="paragraph">
              <wp:posOffset>12700</wp:posOffset>
            </wp:positionV>
            <wp:extent cx="1894840" cy="63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51">
                      <a:extLst>
                        <a:ext uri="{28A0092B-C50C-407E-A947-70E740481C1C}"/>
                      </a:extLst>
                    </a:blip>
                    <a:srcRect/>
                    <a:stretch>
                      <a:fillRect/>
                    </a:stretch>
                  </pic:blipFill>
                  <pic:spPr bwMode="auto">
                    <a:xfrm>
                      <a:off x="0" y="0"/>
                      <a:ext cx="1894840" cy="6350"/>
                    </a:xfrm>
                    <a:prstGeom prst="rect">
                      <a:avLst/>
                    </a:prstGeom>
                    <a:noFill/>
                  </pic:spPr>
                </pic:pic>
              </a:graphicData>
            </a:graphic>
          </wp:anchor>
        </w:drawing>
      </w:r>
    </w:p>
    <w:p>
      <w:pPr>
        <w:spacing w:after="0" w:line="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w:t>
      </w:r>
    </w:p>
    <w:p>
      <w:pPr>
        <w:spacing w:after="0" w:line="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Title:</w:t>
      </w:r>
    </w:p>
    <w:p>
      <w:pPr>
        <w:spacing w:after="0" w:line="18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HFCP X (Parallel-A), L.P.</w:t>
      </w:r>
    </w:p>
    <w:p>
      <w:pPr>
        <w:spacing w:after="0" w:line="17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Hellman &amp; Friedman Investors X, L.P., its general</w:t>
      </w:r>
    </w:p>
    <w:p>
      <w:pPr>
        <w:spacing w:after="0" w:line="2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partner</w:t>
      </w:r>
    </w:p>
    <w:p>
      <w:pPr>
        <w:spacing w:after="0" w:line="15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H&amp;F Corporate Investors X, Ltd., its general partner</w:t>
      </w:r>
    </w:p>
    <w:p>
      <w:pPr>
        <w:spacing w:after="0" w:line="17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3662045</wp:posOffset>
            </wp:positionH>
            <wp:positionV relativeFrom="paragraph">
              <wp:posOffset>12700</wp:posOffset>
            </wp:positionV>
            <wp:extent cx="1894840" cy="63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52">
                      <a:extLst>
                        <a:ext uri="{28A0092B-C50C-407E-A947-70E740481C1C}"/>
                      </a:extLst>
                    </a:blip>
                    <a:srcRect/>
                    <a:stretch>
                      <a:fillRect/>
                    </a:stretch>
                  </pic:blipFill>
                  <pic:spPr bwMode="auto">
                    <a:xfrm>
                      <a:off x="0" y="0"/>
                      <a:ext cx="1894840" cy="6350"/>
                    </a:xfrm>
                    <a:prstGeom prst="rect">
                      <a:avLst/>
                    </a:prstGeom>
                    <a:noFill/>
                  </pic:spPr>
                </pic:pic>
              </a:graphicData>
            </a:graphic>
          </wp:anchor>
        </w:drawing>
      </w:r>
    </w:p>
    <w:p>
      <w:pPr>
        <w:spacing w:after="0" w:line="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w:t>
      </w:r>
    </w:p>
    <w:p>
      <w:pPr>
        <w:spacing w:after="0" w:line="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Title:</w:t>
      </w:r>
    </w:p>
    <w:p>
      <w:pPr>
        <w:spacing w:after="0" w:line="16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Mend Partners II, L.P.</w:t>
      </w:r>
    </w:p>
    <w:p>
      <w:pPr>
        <w:spacing w:after="0" w:line="17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Mend Partners GP, LLC, its general partner</w:t>
      </w:r>
    </w:p>
    <w:p>
      <w:pPr>
        <w:spacing w:after="0" w:line="17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3662045</wp:posOffset>
            </wp:positionH>
            <wp:positionV relativeFrom="paragraph">
              <wp:posOffset>12700</wp:posOffset>
            </wp:positionV>
            <wp:extent cx="1894840" cy="63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53">
                      <a:extLst>
                        <a:ext uri="{28A0092B-C50C-407E-A947-70E740481C1C}"/>
                      </a:extLst>
                    </a:blip>
                    <a:srcRect/>
                    <a:stretch>
                      <a:fillRect/>
                    </a:stretch>
                  </pic:blipFill>
                  <pic:spPr bwMode="auto">
                    <a:xfrm>
                      <a:off x="0" y="0"/>
                      <a:ext cx="1894840" cy="6350"/>
                    </a:xfrm>
                    <a:prstGeom prst="rect">
                      <a:avLst/>
                    </a:prstGeom>
                    <a:noFill/>
                  </pic:spPr>
                </pic:pic>
              </a:graphicData>
            </a:graphic>
          </wp:anchor>
        </w:drawing>
      </w:r>
    </w:p>
    <w:p>
      <w:pPr>
        <w:spacing w:after="0" w:line="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w:t>
      </w:r>
    </w:p>
    <w:p>
      <w:pPr>
        <w:spacing w:after="0" w:line="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Title:</w:t>
      </w:r>
    </w:p>
    <w:p>
      <w:pPr>
        <w:spacing w:after="0" w:line="16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Mend Investment Holdings I, L.P.</w:t>
      </w:r>
    </w:p>
    <w:p>
      <w:pPr>
        <w:spacing w:after="0" w:line="17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3"/>
          <w:szCs w:val="13"/>
          <w:color w:val="auto"/>
        </w:rPr>
        <w:t>By: Mend Investment Holdings GP, LLC, its general partner</w:t>
      </w:r>
    </w:p>
    <w:p>
      <w:pPr>
        <w:spacing w:after="0" w:line="18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3662045</wp:posOffset>
            </wp:positionH>
            <wp:positionV relativeFrom="paragraph">
              <wp:posOffset>12700</wp:posOffset>
            </wp:positionV>
            <wp:extent cx="1894840" cy="63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54">
                      <a:extLst>
                        <a:ext uri="{28A0092B-C50C-407E-A947-70E740481C1C}"/>
                      </a:extLst>
                    </a:blip>
                    <a:srcRect/>
                    <a:stretch>
                      <a:fillRect/>
                    </a:stretch>
                  </pic:blipFill>
                  <pic:spPr bwMode="auto">
                    <a:xfrm>
                      <a:off x="0" y="0"/>
                      <a:ext cx="1894840" cy="6350"/>
                    </a:xfrm>
                    <a:prstGeom prst="rect">
                      <a:avLst/>
                    </a:prstGeom>
                    <a:noFill/>
                  </pic:spPr>
                </pic:pic>
              </a:graphicData>
            </a:graphic>
          </wp:anchor>
        </w:drawing>
      </w:r>
    </w:p>
    <w:p>
      <w:pPr>
        <w:spacing w:after="0" w:line="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w:t>
      </w:r>
    </w:p>
    <w:p>
      <w:pPr>
        <w:spacing w:after="0" w:line="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Title:</w:t>
      </w:r>
    </w:p>
    <w:p>
      <w:pPr>
        <w:sectPr>
          <w:pgSz w:w="11900" w:h="16838" w:orient="portrait"/>
          <w:cols w:equalWidth="0" w:num="1">
            <w:col w:w="9019"/>
          </w:cols>
          <w:pgMar w:left="1440" w:top="237" w:right="1440" w:bottom="1440" w:gutter="0" w:footer="0" w:header="0"/>
        </w:sectPr>
      </w:pPr>
    </w:p>
    <w:bookmarkStart w:id="131" w:name="page132"/>
    <w:bookmarkEnd w:id="131"/>
    <w:p>
      <w:pPr>
        <w:ind w:left="2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5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Accepted as of the date hereof:</w:t>
      </w:r>
    </w:p>
    <w:p>
      <w:pPr>
        <w:spacing w:after="0" w:line="1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Goldman Sachs &amp; Co. LLC</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321310</wp:posOffset>
            </wp:positionH>
            <wp:positionV relativeFrom="paragraph">
              <wp:posOffset>12700</wp:posOffset>
            </wp:positionV>
            <wp:extent cx="2000885" cy="63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6">
                      <a:extLst>
                        <a:ext uri="{28A0092B-C50C-407E-A947-70E740481C1C}"/>
                      </a:extLst>
                    </a:blip>
                    <a:srcRect/>
                    <a:stretch>
                      <a:fillRect/>
                    </a:stretch>
                  </pic:blipFill>
                  <pic:spPr bwMode="auto">
                    <a:xfrm>
                      <a:off x="0" y="0"/>
                      <a:ext cx="2000885" cy="6350"/>
                    </a:xfrm>
                    <a:prstGeom prst="rect">
                      <a:avLst/>
                    </a:prstGeom>
                    <a:noFill/>
                  </pic:spPr>
                </pic:pic>
              </a:graphicData>
            </a:graphic>
          </wp:anchor>
        </w:drawing>
      </w:r>
    </w:p>
    <w:p>
      <w:pPr>
        <w:spacing w:after="0" w:line="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Name:</w:t>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Title:</w:t>
      </w:r>
    </w:p>
    <w:p>
      <w:pPr>
        <w:spacing w:after="0" w:line="1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Morgan Stanley &amp; Co. LLC</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321310</wp:posOffset>
            </wp:positionH>
            <wp:positionV relativeFrom="paragraph">
              <wp:posOffset>12700</wp:posOffset>
            </wp:positionV>
            <wp:extent cx="2000885" cy="63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7">
                      <a:extLst>
                        <a:ext uri="{28A0092B-C50C-407E-A947-70E740481C1C}"/>
                      </a:extLst>
                    </a:blip>
                    <a:srcRect/>
                    <a:stretch>
                      <a:fillRect/>
                    </a:stretch>
                  </pic:blipFill>
                  <pic:spPr bwMode="auto">
                    <a:xfrm>
                      <a:off x="0" y="0"/>
                      <a:ext cx="2000885" cy="6350"/>
                    </a:xfrm>
                    <a:prstGeom prst="rect">
                      <a:avLst/>
                    </a:prstGeom>
                    <a:noFill/>
                  </pic:spPr>
                </pic:pic>
              </a:graphicData>
            </a:graphic>
          </wp:anchor>
        </w:drawing>
      </w:r>
    </w:p>
    <w:p>
      <w:pPr>
        <w:spacing w:after="0" w:line="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Name:</w:t>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Title:</w:t>
      </w:r>
    </w:p>
    <w:p>
      <w:pPr>
        <w:spacing w:after="0" w:line="1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BofA Securities, Inc.</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321310</wp:posOffset>
            </wp:positionH>
            <wp:positionV relativeFrom="paragraph">
              <wp:posOffset>12700</wp:posOffset>
            </wp:positionV>
            <wp:extent cx="2000885" cy="63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8">
                      <a:extLst>
                        <a:ext uri="{28A0092B-C50C-407E-A947-70E740481C1C}"/>
                      </a:extLst>
                    </a:blip>
                    <a:srcRect/>
                    <a:stretch>
                      <a:fillRect/>
                    </a:stretch>
                  </pic:blipFill>
                  <pic:spPr bwMode="auto">
                    <a:xfrm>
                      <a:off x="0" y="0"/>
                      <a:ext cx="2000885" cy="6350"/>
                    </a:xfrm>
                    <a:prstGeom prst="rect">
                      <a:avLst/>
                    </a:prstGeom>
                    <a:noFill/>
                  </pic:spPr>
                </pic:pic>
              </a:graphicData>
            </a:graphic>
          </wp:anchor>
        </w:drawing>
      </w:r>
    </w:p>
    <w:p>
      <w:pPr>
        <w:spacing w:after="0" w:line="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Name:</w:t>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Title:</w:t>
      </w:r>
    </w:p>
    <w:p>
      <w:pPr>
        <w:spacing w:after="0" w:line="1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J.P. Morgan Securities LLC</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321310</wp:posOffset>
            </wp:positionH>
            <wp:positionV relativeFrom="paragraph">
              <wp:posOffset>12700</wp:posOffset>
            </wp:positionV>
            <wp:extent cx="2000885" cy="63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9">
                      <a:extLst>
                        <a:ext uri="{28A0092B-C50C-407E-A947-70E740481C1C}"/>
                      </a:extLst>
                    </a:blip>
                    <a:srcRect/>
                    <a:stretch>
                      <a:fillRect/>
                    </a:stretch>
                  </pic:blipFill>
                  <pic:spPr bwMode="auto">
                    <a:xfrm>
                      <a:off x="0" y="0"/>
                      <a:ext cx="2000885" cy="6350"/>
                    </a:xfrm>
                    <a:prstGeom prst="rect">
                      <a:avLst/>
                    </a:prstGeom>
                    <a:noFill/>
                  </pic:spPr>
                </pic:pic>
              </a:graphicData>
            </a:graphic>
          </wp:anchor>
        </w:drawing>
      </w:r>
    </w:p>
    <w:p>
      <w:pPr>
        <w:spacing w:after="0" w:line="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Name:</w:t>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Title:</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On behalf of each of the Underwriters</w:t>
      </w:r>
    </w:p>
    <w:p>
      <w:pPr>
        <w:sectPr>
          <w:pgSz w:w="11900" w:h="16838" w:orient="portrait"/>
          <w:cols w:equalWidth="0" w:num="1">
            <w:col w:w="9019"/>
          </w:cols>
          <w:pgMar w:left="1440" w:top="239" w:right="1440" w:bottom="1440" w:gutter="0" w:footer="0" w:header="0"/>
        </w:sectPr>
      </w:pPr>
    </w:p>
    <w:bookmarkStart w:id="132" w:name="page133"/>
    <w:bookmarkEnd w:id="13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6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SCHEDULE I</w:t>
      </w:r>
    </w:p>
    <w:p>
      <w:pPr>
        <w:spacing w:after="0" w:line="178" w:lineRule="exact"/>
        <w:rPr>
          <w:sz w:val="20"/>
          <w:szCs w:val="20"/>
          <w:color w:val="auto"/>
        </w:rPr>
      </w:pPr>
    </w:p>
    <w:tbl>
      <w:tblPr>
        <w:tblLayout w:type="fixed"/>
        <w:tblInd w:w="260" w:type="dxa"/>
        <w:tblCellMar>
          <w:top w:w="0" w:type="dxa"/>
          <w:left w:w="0" w:type="dxa"/>
          <w:bottom w:w="0" w:type="dxa"/>
          <w:right w:w="0" w:type="dxa"/>
        </w:tblCellMar>
      </w:tblPr>
      <w:tr>
        <w:trPr>
          <w:trHeight w:val="126"/>
        </w:trPr>
        <w:tc>
          <w:tcPr>
            <w:tcW w:w="6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0" w:type="dxa"/>
            <w:vAlign w:val="bottom"/>
          </w:tcPr>
          <w:p>
            <w:pPr>
              <w:spacing w:after="0"/>
              <w:rPr>
                <w:sz w:val="1"/>
                <w:szCs w:val="1"/>
                <w:color w:val="auto"/>
              </w:rPr>
            </w:pPr>
          </w:p>
        </w:tc>
      </w:tr>
      <w:tr>
        <w:trPr>
          <w:trHeight w:val="114"/>
        </w:trPr>
        <w:tc>
          <w:tcPr>
            <w:tcW w:w="60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gridSpan w:val="2"/>
          </w:tcPr>
          <w:p>
            <w:pPr>
              <w:jc w:val="center"/>
              <w:ind w:right="60"/>
              <w:spacing w:after="0" w:line="115" w:lineRule="exact"/>
              <w:rPr>
                <w:sz w:val="20"/>
                <w:szCs w:val="20"/>
                <w:color w:val="auto"/>
              </w:rPr>
            </w:pPr>
            <w:r>
              <w:rPr>
                <w:rFonts w:ascii="Times New Roman" w:cs="Times New Roman" w:eastAsia="Times New Roman" w:hAnsi="Times New Roman"/>
                <w:sz w:val="11"/>
                <w:szCs w:val="11"/>
                <w:b w:val="1"/>
                <w:bCs w:val="1"/>
                <w:color w:val="auto"/>
              </w:rPr>
              <w:t>Optional</w:t>
            </w:r>
          </w:p>
        </w:tc>
        <w:tc>
          <w:tcPr>
            <w:tcW w:w="0" w:type="dxa"/>
            <w:vAlign w:val="bottom"/>
          </w:tcPr>
          <w:p>
            <w:pPr>
              <w:spacing w:after="0"/>
              <w:rPr>
                <w:sz w:val="1"/>
                <w:szCs w:val="1"/>
                <w:color w:val="auto"/>
              </w:rPr>
            </w:pPr>
          </w:p>
        </w:tc>
      </w:tr>
      <w:tr>
        <w:trPr>
          <w:trHeight w:val="114"/>
        </w:trPr>
        <w:tc>
          <w:tcPr>
            <w:tcW w:w="60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gridSpan w:val="2"/>
          </w:tcPr>
          <w:p>
            <w:pPr>
              <w:jc w:val="center"/>
              <w:ind w:right="60"/>
              <w:spacing w:after="0" w:line="115" w:lineRule="exact"/>
              <w:rPr>
                <w:sz w:val="20"/>
                <w:szCs w:val="20"/>
                <w:color w:val="auto"/>
              </w:rPr>
            </w:pPr>
            <w:r>
              <w:rPr>
                <w:rFonts w:ascii="Times New Roman" w:cs="Times New Roman" w:eastAsia="Times New Roman" w:hAnsi="Times New Roman"/>
                <w:sz w:val="11"/>
                <w:szCs w:val="11"/>
                <w:b w:val="1"/>
                <w:bCs w:val="1"/>
                <w:color w:val="auto"/>
              </w:rPr>
              <w:t>Shares to be</w:t>
            </w:r>
          </w:p>
        </w:tc>
        <w:tc>
          <w:tcPr>
            <w:tcW w:w="0" w:type="dxa"/>
            <w:vAlign w:val="bottom"/>
          </w:tcPr>
          <w:p>
            <w:pPr>
              <w:spacing w:after="0"/>
              <w:rPr>
                <w:sz w:val="1"/>
                <w:szCs w:val="1"/>
                <w:color w:val="auto"/>
              </w:rPr>
            </w:pPr>
          </w:p>
        </w:tc>
      </w:tr>
      <w:tr>
        <w:trPr>
          <w:trHeight w:val="114"/>
        </w:trPr>
        <w:tc>
          <w:tcPr>
            <w:tcW w:w="60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Total Number of</w:t>
            </w:r>
          </w:p>
        </w:tc>
        <w:tc>
          <w:tcPr>
            <w:tcW w:w="820" w:type="dxa"/>
            <w:vAlign w:val="bottom"/>
            <w:gridSpan w:val="3"/>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8"/>
              </w:rPr>
              <w:t>Purchased if</w:t>
            </w:r>
          </w:p>
        </w:tc>
        <w:tc>
          <w:tcPr>
            <w:tcW w:w="0" w:type="dxa"/>
            <w:vAlign w:val="bottom"/>
          </w:tcPr>
          <w:p>
            <w:pPr>
              <w:spacing w:after="0"/>
              <w:rPr>
                <w:sz w:val="1"/>
                <w:szCs w:val="1"/>
                <w:color w:val="auto"/>
              </w:rPr>
            </w:pPr>
          </w:p>
        </w:tc>
      </w:tr>
      <w:tr>
        <w:trPr>
          <w:trHeight w:val="114"/>
        </w:trPr>
        <w:tc>
          <w:tcPr>
            <w:tcW w:w="60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gridSpan w:val="2"/>
          </w:tcPr>
          <w:p>
            <w:pPr>
              <w:jc w:val="center"/>
              <w:ind w:right="60"/>
              <w:spacing w:after="0" w:line="115" w:lineRule="exact"/>
              <w:rPr>
                <w:sz w:val="20"/>
                <w:szCs w:val="20"/>
                <w:color w:val="auto"/>
              </w:rPr>
            </w:pPr>
            <w:r>
              <w:rPr>
                <w:rFonts w:ascii="Times New Roman" w:cs="Times New Roman" w:eastAsia="Times New Roman" w:hAnsi="Times New Roman"/>
                <w:sz w:val="11"/>
                <w:szCs w:val="11"/>
                <w:b w:val="1"/>
                <w:bCs w:val="1"/>
                <w:color w:val="auto"/>
              </w:rPr>
              <w:t>Maximum</w:t>
            </w:r>
          </w:p>
        </w:tc>
        <w:tc>
          <w:tcPr>
            <w:tcW w:w="0" w:type="dxa"/>
            <w:vAlign w:val="bottom"/>
          </w:tcPr>
          <w:p>
            <w:pPr>
              <w:spacing w:after="0"/>
              <w:rPr>
                <w:sz w:val="1"/>
                <w:szCs w:val="1"/>
                <w:color w:val="auto"/>
              </w:rPr>
            </w:pPr>
          </w:p>
        </w:tc>
      </w:tr>
      <w:tr>
        <w:trPr>
          <w:trHeight w:val="114"/>
        </w:trPr>
        <w:tc>
          <w:tcPr>
            <w:tcW w:w="6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7"/>
              </w:rPr>
              <w:t>Underwriter</w:t>
            </w:r>
          </w:p>
        </w:tc>
        <w:tc>
          <w:tcPr>
            <w:tcW w:w="3680" w:type="dxa"/>
            <w:vAlign w:val="bottom"/>
            <w:vMerge w:val="restart"/>
          </w:tcPr>
          <w:p>
            <w:pPr>
              <w:spacing w:after="0"/>
              <w:rPr>
                <w:sz w:val="9"/>
                <w:szCs w:val="9"/>
                <w:color w:val="auto"/>
              </w:rPr>
            </w:pPr>
          </w:p>
        </w:tc>
        <w:tc>
          <w:tcPr>
            <w:tcW w:w="3400" w:type="dxa"/>
            <w:vAlign w:val="bottom"/>
            <w:gridSpan w:val="3"/>
          </w:tcPr>
          <w:p>
            <w:pPr>
              <w:jc w:val="right"/>
              <w:ind w:right="160"/>
              <w:spacing w:after="0" w:line="115" w:lineRule="exact"/>
              <w:rPr>
                <w:sz w:val="20"/>
                <w:szCs w:val="20"/>
                <w:color w:val="auto"/>
              </w:rPr>
            </w:pPr>
            <w:r>
              <w:rPr>
                <w:rFonts w:ascii="Times New Roman" w:cs="Times New Roman" w:eastAsia="Times New Roman" w:hAnsi="Times New Roman"/>
                <w:sz w:val="11"/>
                <w:szCs w:val="11"/>
                <w:b w:val="1"/>
                <w:bCs w:val="1"/>
                <w:color w:val="auto"/>
              </w:rPr>
              <w:t>Firm Shares to be</w:t>
            </w:r>
          </w:p>
        </w:tc>
        <w:tc>
          <w:tcPr>
            <w:tcW w:w="140" w:type="dxa"/>
            <w:vAlign w:val="bottom"/>
          </w:tcPr>
          <w:p>
            <w:pPr>
              <w:spacing w:after="0"/>
              <w:rPr>
                <w:sz w:val="9"/>
                <w:szCs w:val="9"/>
                <w:color w:val="auto"/>
              </w:rPr>
            </w:pPr>
          </w:p>
        </w:tc>
        <w:tc>
          <w:tcPr>
            <w:tcW w:w="680" w:type="dxa"/>
            <w:vAlign w:val="bottom"/>
            <w:gridSpan w:val="2"/>
          </w:tcPr>
          <w:p>
            <w:pPr>
              <w:jc w:val="center"/>
              <w:ind w:right="60"/>
              <w:spacing w:after="0" w:line="115" w:lineRule="exact"/>
              <w:rPr>
                <w:sz w:val="20"/>
                <w:szCs w:val="20"/>
                <w:color w:val="auto"/>
              </w:rPr>
            </w:pPr>
            <w:r>
              <w:rPr>
                <w:rFonts w:ascii="Times New Roman" w:cs="Times New Roman" w:eastAsia="Times New Roman" w:hAnsi="Times New Roman"/>
                <w:sz w:val="11"/>
                <w:szCs w:val="11"/>
                <w:b w:val="1"/>
                <w:bCs w:val="1"/>
                <w:color w:val="auto"/>
              </w:rPr>
              <w:t>Option</w:t>
            </w:r>
          </w:p>
        </w:tc>
        <w:tc>
          <w:tcPr>
            <w:tcW w:w="0" w:type="dxa"/>
            <w:vAlign w:val="bottom"/>
          </w:tcPr>
          <w:p>
            <w:pPr>
              <w:spacing w:after="0"/>
              <w:rPr>
                <w:sz w:val="1"/>
                <w:szCs w:val="1"/>
                <w:color w:val="auto"/>
              </w:rPr>
            </w:pPr>
          </w:p>
        </w:tc>
      </w:tr>
      <w:tr>
        <w:trPr>
          <w:trHeight w:val="143"/>
        </w:trPr>
        <w:tc>
          <w:tcPr>
            <w:tcW w:w="600" w:type="dxa"/>
            <w:vAlign w:val="bottom"/>
            <w:tcBorders>
              <w:bottom w:val="single" w:sz="8" w:color="auto"/>
            </w:tcBorders>
            <w:vMerge w:val="continue"/>
          </w:tcPr>
          <w:p>
            <w:pPr>
              <w:spacing w:after="0"/>
              <w:rPr>
                <w:sz w:val="12"/>
                <w:szCs w:val="12"/>
                <w:color w:val="auto"/>
              </w:rPr>
            </w:pPr>
          </w:p>
        </w:tc>
        <w:tc>
          <w:tcPr>
            <w:tcW w:w="3680" w:type="dxa"/>
            <w:vAlign w:val="bottom"/>
            <w:vMerge w:val="continue"/>
          </w:tcPr>
          <w:p>
            <w:pPr>
              <w:spacing w:after="0"/>
              <w:rPr>
                <w:sz w:val="12"/>
                <w:szCs w:val="12"/>
                <w:color w:val="auto"/>
              </w:rPr>
            </w:pPr>
          </w:p>
        </w:tc>
        <w:tc>
          <w:tcPr>
            <w:tcW w:w="2360" w:type="dxa"/>
            <w:vAlign w:val="bottom"/>
          </w:tcPr>
          <w:p>
            <w:pPr>
              <w:spacing w:after="0"/>
              <w:rPr>
                <w:sz w:val="12"/>
                <w:szCs w:val="12"/>
                <w:color w:val="auto"/>
              </w:rPr>
            </w:pPr>
          </w:p>
        </w:tc>
        <w:tc>
          <w:tcPr>
            <w:tcW w:w="1040" w:type="dxa"/>
            <w:vAlign w:val="bottom"/>
            <w:gridSpan w:val="2"/>
          </w:tcPr>
          <w:p>
            <w:pPr>
              <w:jc w:val="right"/>
              <w:ind w:right="320"/>
              <w:spacing w:after="0" w:line="123" w:lineRule="exact"/>
              <w:rPr>
                <w:sz w:val="20"/>
                <w:szCs w:val="20"/>
                <w:color w:val="auto"/>
              </w:rPr>
            </w:pPr>
            <w:r>
              <w:rPr>
                <w:rFonts w:ascii="Times New Roman" w:cs="Times New Roman" w:eastAsia="Times New Roman" w:hAnsi="Times New Roman"/>
                <w:sz w:val="11"/>
                <w:szCs w:val="11"/>
                <w:b w:val="1"/>
                <w:bCs w:val="1"/>
                <w:color w:val="auto"/>
              </w:rPr>
              <w:t>Purchased</w:t>
            </w:r>
          </w:p>
        </w:tc>
        <w:tc>
          <w:tcPr>
            <w:tcW w:w="140" w:type="dxa"/>
            <w:vAlign w:val="bottom"/>
          </w:tcPr>
          <w:p>
            <w:pPr>
              <w:spacing w:after="0"/>
              <w:rPr>
                <w:sz w:val="12"/>
                <w:szCs w:val="12"/>
                <w:color w:val="auto"/>
              </w:rPr>
            </w:pPr>
          </w:p>
        </w:tc>
        <w:tc>
          <w:tcPr>
            <w:tcW w:w="680" w:type="dxa"/>
            <w:vAlign w:val="bottom"/>
            <w:gridSpan w:val="2"/>
          </w:tcPr>
          <w:p>
            <w:pPr>
              <w:jc w:val="center"/>
              <w:ind w:right="60"/>
              <w:spacing w:after="0" w:line="123" w:lineRule="exact"/>
              <w:rPr>
                <w:sz w:val="20"/>
                <w:szCs w:val="20"/>
                <w:color w:val="auto"/>
              </w:rPr>
            </w:pPr>
            <w:r>
              <w:rPr>
                <w:rFonts w:ascii="Times New Roman" w:cs="Times New Roman" w:eastAsia="Times New Roman" w:hAnsi="Times New Roman"/>
                <w:sz w:val="11"/>
                <w:szCs w:val="11"/>
                <w:b w:val="1"/>
                <w:bCs w:val="1"/>
                <w:color w:val="auto"/>
              </w:rPr>
              <w:t>Exercised</w:t>
            </w:r>
          </w:p>
        </w:tc>
        <w:tc>
          <w:tcPr>
            <w:tcW w:w="0" w:type="dxa"/>
            <w:vAlign w:val="bottom"/>
          </w:tcPr>
          <w:p>
            <w:pPr>
              <w:spacing w:after="0"/>
              <w:rPr>
                <w:sz w:val="1"/>
                <w:szCs w:val="1"/>
                <w:color w:val="auto"/>
              </w:rPr>
            </w:pPr>
          </w:p>
        </w:tc>
      </w:tr>
      <w:tr>
        <w:trPr>
          <w:trHeight w:val="147"/>
        </w:trPr>
        <w:tc>
          <w:tcPr>
            <w:tcW w:w="4280" w:type="dxa"/>
            <w:vAlign w:val="bottom"/>
            <w:tcBorders>
              <w:top w:val="single" w:sz="8" w:color="CCEEFF"/>
            </w:tcBorders>
            <w:gridSpan w:val="2"/>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Goldman Sachs &amp; Co. LLC</w:t>
            </w:r>
          </w:p>
        </w:tc>
        <w:tc>
          <w:tcPr>
            <w:tcW w:w="236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[_______</w:t>
            </w:r>
          </w:p>
        </w:tc>
        <w:tc>
          <w:tcPr>
            <w:tcW w:w="180" w:type="dxa"/>
            <w:vAlign w:val="bottom"/>
            <w:tcBorders>
              <w:top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[_______</w:t>
            </w:r>
          </w:p>
        </w:tc>
        <w:tc>
          <w:tcPr>
            <w:tcW w:w="100" w:type="dxa"/>
            <w:vAlign w:val="bottom"/>
            <w:tcBorders>
              <w:top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66"/>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Morgan Stanley &amp; Co. LLC</w:t>
            </w:r>
          </w:p>
        </w:tc>
        <w:tc>
          <w:tcPr>
            <w:tcW w:w="34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[_______]</w:t>
            </w: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[_______]</w:t>
            </w:r>
          </w:p>
        </w:tc>
        <w:tc>
          <w:tcPr>
            <w:tcW w:w="0" w:type="dxa"/>
            <w:vAlign w:val="bottom"/>
          </w:tcPr>
          <w:p>
            <w:pPr>
              <w:spacing w:after="0"/>
              <w:rPr>
                <w:sz w:val="1"/>
                <w:szCs w:val="1"/>
                <w:color w:val="auto"/>
              </w:rPr>
            </w:pPr>
          </w:p>
        </w:tc>
      </w:tr>
      <w:tr>
        <w:trPr>
          <w:trHeight w:val="16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BofA Securities, Inc.</w:t>
            </w:r>
          </w:p>
        </w:tc>
        <w:tc>
          <w:tcPr>
            <w:tcW w:w="3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[_______]</w:t>
            </w: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[_______]</w:t>
            </w:r>
          </w:p>
        </w:tc>
        <w:tc>
          <w:tcPr>
            <w:tcW w:w="0" w:type="dxa"/>
            <w:vAlign w:val="bottom"/>
          </w:tcPr>
          <w:p>
            <w:pPr>
              <w:spacing w:after="0"/>
              <w:rPr>
                <w:sz w:val="1"/>
                <w:szCs w:val="1"/>
                <w:color w:val="auto"/>
              </w:rPr>
            </w:pPr>
          </w:p>
        </w:tc>
      </w:tr>
      <w:tr>
        <w:trPr>
          <w:trHeight w:val="166"/>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J.P. Morgan Securities LLC</w:t>
            </w:r>
          </w:p>
        </w:tc>
        <w:tc>
          <w:tcPr>
            <w:tcW w:w="34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[_______]</w:t>
            </w: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[_______]</w:t>
            </w:r>
          </w:p>
        </w:tc>
        <w:tc>
          <w:tcPr>
            <w:tcW w:w="0" w:type="dxa"/>
            <w:vAlign w:val="bottom"/>
          </w:tcPr>
          <w:p>
            <w:pPr>
              <w:spacing w:after="0"/>
              <w:rPr>
                <w:sz w:val="1"/>
                <w:szCs w:val="1"/>
                <w:color w:val="auto"/>
              </w:rPr>
            </w:pPr>
          </w:p>
        </w:tc>
      </w:tr>
      <w:tr>
        <w:trPr>
          <w:trHeight w:val="16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Blackstone Securities Partners L.P.</w:t>
            </w:r>
          </w:p>
        </w:tc>
        <w:tc>
          <w:tcPr>
            <w:tcW w:w="3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[_______]</w:t>
            </w: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[_______]</w:t>
            </w:r>
          </w:p>
        </w:tc>
        <w:tc>
          <w:tcPr>
            <w:tcW w:w="0" w:type="dxa"/>
            <w:vAlign w:val="bottom"/>
          </w:tcPr>
          <w:p>
            <w:pPr>
              <w:spacing w:after="0"/>
              <w:rPr>
                <w:sz w:val="1"/>
                <w:szCs w:val="1"/>
                <w:color w:val="auto"/>
              </w:rPr>
            </w:pPr>
          </w:p>
        </w:tc>
      </w:tr>
      <w:tr>
        <w:trPr>
          <w:trHeight w:val="167"/>
        </w:trPr>
        <w:tc>
          <w:tcPr>
            <w:tcW w:w="42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236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[_______</w:t>
            </w:r>
          </w:p>
        </w:tc>
        <w:tc>
          <w:tcPr>
            <w:tcW w:w="18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[_______</w:t>
            </w:r>
          </w:p>
        </w:tc>
        <w:tc>
          <w:tcPr>
            <w:tcW w:w="1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237" w:right="1440" w:bottom="1440" w:gutter="0" w:footer="0" w:header="0"/>
        </w:sectPr>
      </w:pPr>
    </w:p>
    <w:bookmarkStart w:id="133" w:name="page134"/>
    <w:bookmarkEnd w:id="13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6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SCHEDULE II</w:t>
      </w:r>
    </w:p>
    <w:p>
      <w:pPr>
        <w:spacing w:after="0" w:line="178" w:lineRule="exact"/>
        <w:rPr>
          <w:sz w:val="20"/>
          <w:szCs w:val="20"/>
          <w:color w:val="auto"/>
        </w:rPr>
      </w:pPr>
    </w:p>
    <w:tbl>
      <w:tblPr>
        <w:tblLayout w:type="fixed"/>
        <w:tblInd w:w="260" w:type="dxa"/>
        <w:tblCellMar>
          <w:top w:w="0" w:type="dxa"/>
          <w:left w:w="0" w:type="dxa"/>
          <w:bottom w:w="0" w:type="dxa"/>
          <w:right w:w="0" w:type="dxa"/>
        </w:tblCellMar>
      </w:tblPr>
      <w:tr>
        <w:trPr>
          <w:trHeight w:val="126"/>
        </w:trPr>
        <w:tc>
          <w:tcPr>
            <w:tcW w:w="58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0" w:type="dxa"/>
            <w:vAlign w:val="bottom"/>
          </w:tcPr>
          <w:p>
            <w:pPr>
              <w:spacing w:after="0"/>
              <w:rPr>
                <w:sz w:val="1"/>
                <w:szCs w:val="1"/>
                <w:color w:val="auto"/>
              </w:rPr>
            </w:pPr>
          </w:p>
        </w:tc>
      </w:tr>
      <w:tr>
        <w:trPr>
          <w:trHeight w:val="114"/>
        </w:trPr>
        <w:tc>
          <w:tcPr>
            <w:tcW w:w="580" w:type="dxa"/>
            <w:vAlign w:val="bottom"/>
          </w:tcPr>
          <w:p>
            <w:pPr>
              <w:spacing w:after="0"/>
              <w:rPr>
                <w:sz w:val="9"/>
                <w:szCs w:val="9"/>
                <w:color w:val="auto"/>
              </w:rPr>
            </w:pPr>
          </w:p>
        </w:tc>
        <w:tc>
          <w:tcPr>
            <w:tcW w:w="44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tcPr>
          <w:p>
            <w:pPr>
              <w:jc w:val="center"/>
              <w:ind w:right="60"/>
              <w:spacing w:after="0" w:line="115" w:lineRule="exact"/>
              <w:rPr>
                <w:sz w:val="20"/>
                <w:szCs w:val="20"/>
                <w:color w:val="auto"/>
              </w:rPr>
            </w:pPr>
            <w:r>
              <w:rPr>
                <w:rFonts w:ascii="Times New Roman" w:cs="Times New Roman" w:eastAsia="Times New Roman" w:hAnsi="Times New Roman"/>
                <w:sz w:val="11"/>
                <w:szCs w:val="11"/>
                <w:b w:val="1"/>
                <w:bCs w:val="1"/>
                <w:color w:val="auto"/>
              </w:rPr>
              <w:t>Optional</w:t>
            </w:r>
          </w:p>
        </w:tc>
        <w:tc>
          <w:tcPr>
            <w:tcW w:w="0" w:type="dxa"/>
            <w:vAlign w:val="bottom"/>
          </w:tcPr>
          <w:p>
            <w:pPr>
              <w:spacing w:after="0"/>
              <w:rPr>
                <w:sz w:val="1"/>
                <w:szCs w:val="1"/>
                <w:color w:val="auto"/>
              </w:rPr>
            </w:pPr>
          </w:p>
        </w:tc>
      </w:tr>
      <w:tr>
        <w:trPr>
          <w:trHeight w:val="114"/>
        </w:trPr>
        <w:tc>
          <w:tcPr>
            <w:tcW w:w="580" w:type="dxa"/>
            <w:vAlign w:val="bottom"/>
          </w:tcPr>
          <w:p>
            <w:pPr>
              <w:spacing w:after="0"/>
              <w:rPr>
                <w:sz w:val="9"/>
                <w:szCs w:val="9"/>
                <w:color w:val="auto"/>
              </w:rPr>
            </w:pPr>
          </w:p>
        </w:tc>
        <w:tc>
          <w:tcPr>
            <w:tcW w:w="44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tcPr>
          <w:p>
            <w:pPr>
              <w:jc w:val="center"/>
              <w:ind w:right="60"/>
              <w:spacing w:after="0" w:line="115" w:lineRule="exact"/>
              <w:rPr>
                <w:sz w:val="20"/>
                <w:szCs w:val="20"/>
                <w:color w:val="auto"/>
              </w:rPr>
            </w:pPr>
            <w:r>
              <w:rPr>
                <w:rFonts w:ascii="Times New Roman" w:cs="Times New Roman" w:eastAsia="Times New Roman" w:hAnsi="Times New Roman"/>
                <w:sz w:val="11"/>
                <w:szCs w:val="11"/>
                <w:b w:val="1"/>
                <w:bCs w:val="1"/>
                <w:color w:val="auto"/>
              </w:rPr>
              <w:t>Shares to be</w:t>
            </w:r>
          </w:p>
        </w:tc>
        <w:tc>
          <w:tcPr>
            <w:tcW w:w="0" w:type="dxa"/>
            <w:vAlign w:val="bottom"/>
          </w:tcPr>
          <w:p>
            <w:pPr>
              <w:spacing w:after="0"/>
              <w:rPr>
                <w:sz w:val="1"/>
                <w:szCs w:val="1"/>
                <w:color w:val="auto"/>
              </w:rPr>
            </w:pPr>
          </w:p>
        </w:tc>
      </w:tr>
      <w:tr>
        <w:trPr>
          <w:trHeight w:val="114"/>
        </w:trPr>
        <w:tc>
          <w:tcPr>
            <w:tcW w:w="580" w:type="dxa"/>
            <w:vAlign w:val="bottom"/>
          </w:tcPr>
          <w:p>
            <w:pPr>
              <w:spacing w:after="0"/>
              <w:rPr>
                <w:sz w:val="9"/>
                <w:szCs w:val="9"/>
                <w:color w:val="auto"/>
              </w:rPr>
            </w:pPr>
          </w:p>
        </w:tc>
        <w:tc>
          <w:tcPr>
            <w:tcW w:w="44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w w:val="98"/>
              </w:rPr>
              <w:t>Total Number</w:t>
            </w:r>
          </w:p>
        </w:tc>
        <w:tc>
          <w:tcPr>
            <w:tcW w:w="800" w:type="dxa"/>
            <w:vAlign w:val="bottom"/>
            <w:gridSpan w:val="3"/>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8"/>
              </w:rPr>
              <w:t>Purchased if</w:t>
            </w:r>
          </w:p>
        </w:tc>
        <w:tc>
          <w:tcPr>
            <w:tcW w:w="0" w:type="dxa"/>
            <w:vAlign w:val="bottom"/>
          </w:tcPr>
          <w:p>
            <w:pPr>
              <w:spacing w:after="0"/>
              <w:rPr>
                <w:sz w:val="1"/>
                <w:szCs w:val="1"/>
                <w:color w:val="auto"/>
              </w:rPr>
            </w:pPr>
          </w:p>
        </w:tc>
      </w:tr>
      <w:tr>
        <w:trPr>
          <w:trHeight w:val="114"/>
        </w:trPr>
        <w:tc>
          <w:tcPr>
            <w:tcW w:w="5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Selling</w:t>
            </w:r>
          </w:p>
        </w:tc>
        <w:tc>
          <w:tcPr>
            <w:tcW w:w="44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tcPr>
          <w:p>
            <w:pPr>
              <w:jc w:val="center"/>
              <w:ind w:right="60"/>
              <w:spacing w:after="0" w:line="115" w:lineRule="exact"/>
              <w:rPr>
                <w:sz w:val="20"/>
                <w:szCs w:val="20"/>
                <w:color w:val="auto"/>
              </w:rPr>
            </w:pPr>
            <w:r>
              <w:rPr>
                <w:rFonts w:ascii="Times New Roman" w:cs="Times New Roman" w:eastAsia="Times New Roman" w:hAnsi="Times New Roman"/>
                <w:sz w:val="11"/>
                <w:szCs w:val="11"/>
                <w:b w:val="1"/>
                <w:bCs w:val="1"/>
                <w:color w:val="auto"/>
              </w:rPr>
              <w:t>Maximum</w:t>
            </w:r>
          </w:p>
        </w:tc>
        <w:tc>
          <w:tcPr>
            <w:tcW w:w="0" w:type="dxa"/>
            <w:vAlign w:val="bottom"/>
          </w:tcPr>
          <w:p>
            <w:pPr>
              <w:spacing w:after="0"/>
              <w:rPr>
                <w:sz w:val="1"/>
                <w:szCs w:val="1"/>
                <w:color w:val="auto"/>
              </w:rPr>
            </w:pPr>
          </w:p>
        </w:tc>
      </w:tr>
      <w:tr>
        <w:trPr>
          <w:trHeight w:val="113"/>
        </w:trPr>
        <w:tc>
          <w:tcPr>
            <w:tcW w:w="580" w:type="dxa"/>
            <w:vAlign w:val="bottom"/>
            <w:vMerge w:val="continue"/>
          </w:tcPr>
          <w:p>
            <w:pPr>
              <w:spacing w:after="0"/>
              <w:rPr>
                <w:sz w:val="9"/>
                <w:szCs w:val="9"/>
                <w:color w:val="auto"/>
              </w:rPr>
            </w:pPr>
          </w:p>
        </w:tc>
        <w:tc>
          <w:tcPr>
            <w:tcW w:w="4420" w:type="dxa"/>
            <w:vAlign w:val="bottom"/>
          </w:tcPr>
          <w:p>
            <w:pPr>
              <w:spacing w:after="0"/>
              <w:rPr>
                <w:sz w:val="9"/>
                <w:szCs w:val="9"/>
                <w:color w:val="auto"/>
              </w:rPr>
            </w:pPr>
          </w:p>
        </w:tc>
        <w:tc>
          <w:tcPr>
            <w:tcW w:w="2700" w:type="dxa"/>
            <w:vAlign w:val="bottom"/>
            <w:gridSpan w:val="3"/>
          </w:tcPr>
          <w:p>
            <w:pPr>
              <w:jc w:val="right"/>
              <w:ind w:right="100"/>
              <w:spacing w:after="0" w:line="113" w:lineRule="exact"/>
              <w:rPr>
                <w:sz w:val="20"/>
                <w:szCs w:val="20"/>
                <w:color w:val="auto"/>
              </w:rPr>
            </w:pPr>
            <w:r>
              <w:rPr>
                <w:rFonts w:ascii="Times New Roman" w:cs="Times New Roman" w:eastAsia="Times New Roman" w:hAnsi="Times New Roman"/>
                <w:sz w:val="11"/>
                <w:szCs w:val="11"/>
                <w:b w:val="1"/>
                <w:bCs w:val="1"/>
                <w:color w:val="auto"/>
              </w:rPr>
              <w:t>of Firm Shares</w:t>
            </w:r>
          </w:p>
        </w:tc>
        <w:tc>
          <w:tcPr>
            <w:tcW w:w="120" w:type="dxa"/>
            <w:vAlign w:val="bottom"/>
          </w:tcPr>
          <w:p>
            <w:pPr>
              <w:spacing w:after="0"/>
              <w:rPr>
                <w:sz w:val="9"/>
                <w:szCs w:val="9"/>
                <w:color w:val="auto"/>
              </w:rPr>
            </w:pPr>
          </w:p>
        </w:tc>
        <w:tc>
          <w:tcPr>
            <w:tcW w:w="680" w:type="dxa"/>
            <w:vAlign w:val="bottom"/>
            <w:gridSpan w:val="2"/>
          </w:tcPr>
          <w:p>
            <w:pPr>
              <w:jc w:val="center"/>
              <w:ind w:right="60"/>
              <w:spacing w:after="0" w:line="113" w:lineRule="exact"/>
              <w:rPr>
                <w:sz w:val="20"/>
                <w:szCs w:val="20"/>
                <w:color w:val="auto"/>
              </w:rPr>
            </w:pPr>
            <w:r>
              <w:rPr>
                <w:rFonts w:ascii="Times New Roman" w:cs="Times New Roman" w:eastAsia="Times New Roman" w:hAnsi="Times New Roman"/>
                <w:sz w:val="11"/>
                <w:szCs w:val="11"/>
                <w:b w:val="1"/>
                <w:bCs w:val="1"/>
                <w:color w:val="auto"/>
              </w:rPr>
              <w:t>Option</w:t>
            </w:r>
          </w:p>
        </w:tc>
        <w:tc>
          <w:tcPr>
            <w:tcW w:w="0" w:type="dxa"/>
            <w:vAlign w:val="bottom"/>
          </w:tcPr>
          <w:p>
            <w:pPr>
              <w:spacing w:after="0"/>
              <w:rPr>
                <w:sz w:val="1"/>
                <w:szCs w:val="1"/>
                <w:color w:val="auto"/>
              </w:rPr>
            </w:pPr>
          </w:p>
        </w:tc>
      </w:tr>
      <w:tr>
        <w:trPr>
          <w:trHeight w:val="145"/>
        </w:trPr>
        <w:tc>
          <w:tcPr>
            <w:tcW w:w="580" w:type="dxa"/>
            <w:vAlign w:val="bottom"/>
            <w:tcBorders>
              <w:bottom w:val="single" w:sz="8" w:color="auto"/>
            </w:tcBorders>
          </w:tcPr>
          <w:p>
            <w:pPr>
              <w:spacing w:after="0" w:line="125" w:lineRule="exact"/>
              <w:rPr>
                <w:sz w:val="20"/>
                <w:szCs w:val="20"/>
                <w:color w:val="auto"/>
              </w:rPr>
            </w:pPr>
            <w:r>
              <w:rPr>
                <w:rFonts w:ascii="Times New Roman" w:cs="Times New Roman" w:eastAsia="Times New Roman" w:hAnsi="Times New Roman"/>
                <w:sz w:val="11"/>
                <w:szCs w:val="11"/>
                <w:b w:val="1"/>
                <w:bCs w:val="1"/>
                <w:color w:val="auto"/>
                <w:w w:val="98"/>
              </w:rPr>
              <w:t>Stockholder</w:t>
            </w:r>
          </w:p>
        </w:tc>
        <w:tc>
          <w:tcPr>
            <w:tcW w:w="44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40" w:type="dxa"/>
            <w:vAlign w:val="bottom"/>
            <w:gridSpan w:val="2"/>
          </w:tcPr>
          <w:p>
            <w:pPr>
              <w:jc w:val="right"/>
              <w:ind w:right="220"/>
              <w:spacing w:after="0" w:line="125" w:lineRule="exact"/>
              <w:rPr>
                <w:sz w:val="20"/>
                <w:szCs w:val="20"/>
                <w:color w:val="auto"/>
              </w:rPr>
            </w:pPr>
            <w:r>
              <w:rPr>
                <w:rFonts w:ascii="Times New Roman" w:cs="Times New Roman" w:eastAsia="Times New Roman" w:hAnsi="Times New Roman"/>
                <w:sz w:val="11"/>
                <w:szCs w:val="11"/>
                <w:b w:val="1"/>
                <w:bCs w:val="1"/>
                <w:color w:val="auto"/>
              </w:rPr>
              <w:t>to be Sold</w:t>
            </w:r>
          </w:p>
        </w:tc>
        <w:tc>
          <w:tcPr>
            <w:tcW w:w="120" w:type="dxa"/>
            <w:vAlign w:val="bottom"/>
          </w:tcPr>
          <w:p>
            <w:pPr>
              <w:spacing w:after="0"/>
              <w:rPr>
                <w:sz w:val="12"/>
                <w:szCs w:val="12"/>
                <w:color w:val="auto"/>
              </w:rPr>
            </w:pPr>
          </w:p>
        </w:tc>
        <w:tc>
          <w:tcPr>
            <w:tcW w:w="680" w:type="dxa"/>
            <w:vAlign w:val="bottom"/>
            <w:gridSpan w:val="2"/>
          </w:tcPr>
          <w:p>
            <w:pPr>
              <w:jc w:val="center"/>
              <w:ind w:right="60"/>
              <w:spacing w:after="0" w:line="125" w:lineRule="exact"/>
              <w:rPr>
                <w:sz w:val="20"/>
                <w:szCs w:val="20"/>
                <w:color w:val="auto"/>
              </w:rPr>
            </w:pPr>
            <w:r>
              <w:rPr>
                <w:rFonts w:ascii="Times New Roman" w:cs="Times New Roman" w:eastAsia="Times New Roman" w:hAnsi="Times New Roman"/>
                <w:sz w:val="11"/>
                <w:szCs w:val="11"/>
                <w:b w:val="1"/>
                <w:bCs w:val="1"/>
                <w:color w:val="auto"/>
              </w:rPr>
              <w:t>Exercised</w:t>
            </w:r>
          </w:p>
        </w:tc>
        <w:tc>
          <w:tcPr>
            <w:tcW w:w="0" w:type="dxa"/>
            <w:vAlign w:val="bottom"/>
          </w:tcPr>
          <w:p>
            <w:pPr>
              <w:spacing w:after="0"/>
              <w:rPr>
                <w:sz w:val="1"/>
                <w:szCs w:val="1"/>
                <w:color w:val="auto"/>
              </w:rPr>
            </w:pPr>
          </w:p>
        </w:tc>
      </w:tr>
      <w:tr>
        <w:trPr>
          <w:trHeight w:val="147"/>
        </w:trPr>
        <w:tc>
          <w:tcPr>
            <w:tcW w:w="5000" w:type="dxa"/>
            <w:vAlign w:val="bottom"/>
            <w:tcBorders>
              <w:top w:val="single" w:sz="8" w:color="CCEEFF"/>
            </w:tcBorders>
            <w:gridSpan w:val="2"/>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BX Mozart ML-1 Holdco L.P.</w:t>
            </w:r>
          </w:p>
        </w:tc>
        <w:tc>
          <w:tcPr>
            <w:tcW w:w="18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[_______</w:t>
            </w:r>
          </w:p>
        </w:tc>
        <w:tc>
          <w:tcPr>
            <w:tcW w:w="140" w:type="dxa"/>
            <w:vAlign w:val="bottom"/>
            <w:tcBorders>
              <w:top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[_______</w:t>
            </w:r>
          </w:p>
        </w:tc>
        <w:tc>
          <w:tcPr>
            <w:tcW w:w="100" w:type="dxa"/>
            <w:vAlign w:val="bottom"/>
            <w:tcBorders>
              <w:top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66"/>
        </w:trPr>
        <w:tc>
          <w:tcPr>
            <w:tcW w:w="5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Mozart Aggregator UNLV Holdco L.P.</w:t>
            </w:r>
          </w:p>
        </w:tc>
        <w:tc>
          <w:tcPr>
            <w:tcW w:w="27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[_______]</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[_______]</w:t>
            </w:r>
          </w:p>
        </w:tc>
        <w:tc>
          <w:tcPr>
            <w:tcW w:w="0" w:type="dxa"/>
            <w:vAlign w:val="bottom"/>
          </w:tcPr>
          <w:p>
            <w:pPr>
              <w:spacing w:after="0"/>
              <w:rPr>
                <w:sz w:val="1"/>
                <w:szCs w:val="1"/>
                <w:color w:val="auto"/>
              </w:rPr>
            </w:pPr>
          </w:p>
        </w:tc>
      </w:tr>
      <w:tr>
        <w:trPr>
          <w:trHeight w:val="166"/>
        </w:trPr>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BX Mozart ML-2 Holdco L.P.</w:t>
            </w:r>
          </w:p>
        </w:tc>
        <w:tc>
          <w:tcPr>
            <w:tcW w:w="2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[_______]</w:t>
            </w: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[_______]</w:t>
            </w:r>
          </w:p>
        </w:tc>
        <w:tc>
          <w:tcPr>
            <w:tcW w:w="0" w:type="dxa"/>
            <w:vAlign w:val="bottom"/>
          </w:tcPr>
          <w:p>
            <w:pPr>
              <w:spacing w:after="0"/>
              <w:rPr>
                <w:sz w:val="1"/>
                <w:szCs w:val="1"/>
                <w:color w:val="auto"/>
              </w:rPr>
            </w:pPr>
          </w:p>
        </w:tc>
      </w:tr>
      <w:tr>
        <w:trPr>
          <w:trHeight w:val="166"/>
        </w:trPr>
        <w:tc>
          <w:tcPr>
            <w:tcW w:w="5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Mozart Aggregator II UNLV Holdco L.P</w:t>
            </w:r>
          </w:p>
        </w:tc>
        <w:tc>
          <w:tcPr>
            <w:tcW w:w="27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[_______]</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[_______]</w:t>
            </w:r>
          </w:p>
        </w:tc>
        <w:tc>
          <w:tcPr>
            <w:tcW w:w="0" w:type="dxa"/>
            <w:vAlign w:val="bottom"/>
          </w:tcPr>
          <w:p>
            <w:pPr>
              <w:spacing w:after="0"/>
              <w:rPr>
                <w:sz w:val="1"/>
                <w:szCs w:val="1"/>
                <w:color w:val="auto"/>
              </w:rPr>
            </w:pPr>
          </w:p>
        </w:tc>
      </w:tr>
      <w:tr>
        <w:trPr>
          <w:trHeight w:val="166"/>
        </w:trPr>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Mend Partners II, L.P.</w:t>
            </w:r>
          </w:p>
        </w:tc>
        <w:tc>
          <w:tcPr>
            <w:tcW w:w="2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[_______]</w:t>
            </w: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[_______]</w:t>
            </w:r>
          </w:p>
        </w:tc>
        <w:tc>
          <w:tcPr>
            <w:tcW w:w="0" w:type="dxa"/>
            <w:vAlign w:val="bottom"/>
          </w:tcPr>
          <w:p>
            <w:pPr>
              <w:spacing w:after="0"/>
              <w:rPr>
                <w:sz w:val="1"/>
                <w:szCs w:val="1"/>
                <w:color w:val="auto"/>
              </w:rPr>
            </w:pPr>
          </w:p>
        </w:tc>
      </w:tr>
      <w:tr>
        <w:trPr>
          <w:trHeight w:val="166"/>
        </w:trPr>
        <w:tc>
          <w:tcPr>
            <w:tcW w:w="5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Mend Investment Holdings I, L.P.</w:t>
            </w:r>
          </w:p>
        </w:tc>
        <w:tc>
          <w:tcPr>
            <w:tcW w:w="27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[_______]</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[_______]</w:t>
            </w:r>
          </w:p>
        </w:tc>
        <w:tc>
          <w:tcPr>
            <w:tcW w:w="0" w:type="dxa"/>
            <w:vAlign w:val="bottom"/>
          </w:tcPr>
          <w:p>
            <w:pPr>
              <w:spacing w:after="0"/>
              <w:rPr>
                <w:sz w:val="1"/>
                <w:szCs w:val="1"/>
                <w:color w:val="auto"/>
              </w:rPr>
            </w:pPr>
          </w:p>
        </w:tc>
      </w:tr>
      <w:tr>
        <w:trPr>
          <w:trHeight w:val="166"/>
        </w:trPr>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Hellman &amp; Friedman Capital Partners X (Parallel), L.P.</w:t>
            </w:r>
          </w:p>
        </w:tc>
        <w:tc>
          <w:tcPr>
            <w:tcW w:w="2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[_______]</w:t>
            </w: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[_______]</w:t>
            </w:r>
          </w:p>
        </w:tc>
        <w:tc>
          <w:tcPr>
            <w:tcW w:w="0" w:type="dxa"/>
            <w:vAlign w:val="bottom"/>
          </w:tcPr>
          <w:p>
            <w:pPr>
              <w:spacing w:after="0"/>
              <w:rPr>
                <w:sz w:val="1"/>
                <w:szCs w:val="1"/>
                <w:color w:val="auto"/>
              </w:rPr>
            </w:pPr>
          </w:p>
        </w:tc>
      </w:tr>
      <w:tr>
        <w:trPr>
          <w:trHeight w:val="166"/>
        </w:trPr>
        <w:tc>
          <w:tcPr>
            <w:tcW w:w="5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HFCP X (Parallel-A), L.P.</w:t>
            </w:r>
          </w:p>
        </w:tc>
        <w:tc>
          <w:tcPr>
            <w:tcW w:w="27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[_______]</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[_______]</w:t>
            </w:r>
          </w:p>
        </w:tc>
        <w:tc>
          <w:tcPr>
            <w:tcW w:w="0" w:type="dxa"/>
            <w:vAlign w:val="bottom"/>
          </w:tcPr>
          <w:p>
            <w:pPr>
              <w:spacing w:after="0"/>
              <w:rPr>
                <w:sz w:val="1"/>
                <w:szCs w:val="1"/>
                <w:color w:val="auto"/>
              </w:rPr>
            </w:pPr>
          </w:p>
        </w:tc>
      </w:tr>
      <w:tr>
        <w:trPr>
          <w:trHeight w:val="166"/>
        </w:trPr>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Platinum Falcon B 2018 RSC Limited</w:t>
            </w:r>
          </w:p>
        </w:tc>
        <w:tc>
          <w:tcPr>
            <w:tcW w:w="2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[_______]</w:t>
            </w: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[_______]</w:t>
            </w:r>
          </w:p>
        </w:tc>
        <w:tc>
          <w:tcPr>
            <w:tcW w:w="0" w:type="dxa"/>
            <w:vAlign w:val="bottom"/>
          </w:tcPr>
          <w:p>
            <w:pPr>
              <w:spacing w:after="0"/>
              <w:rPr>
                <w:sz w:val="1"/>
                <w:szCs w:val="1"/>
                <w:color w:val="auto"/>
              </w:rPr>
            </w:pPr>
          </w:p>
        </w:tc>
      </w:tr>
      <w:tr>
        <w:trPr>
          <w:trHeight w:val="167"/>
        </w:trPr>
        <w:tc>
          <w:tcPr>
            <w:tcW w:w="58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4"/>
              </w:rPr>
              <w:t>Total</w:t>
            </w:r>
          </w:p>
        </w:tc>
        <w:tc>
          <w:tcPr>
            <w:tcW w:w="44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[_______</w:t>
            </w:r>
          </w:p>
        </w:tc>
        <w:tc>
          <w:tcPr>
            <w:tcW w:w="140" w:type="dxa"/>
            <w:vAlign w:val="bottom"/>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[_______</w:t>
            </w:r>
          </w:p>
        </w:tc>
        <w:tc>
          <w:tcPr>
            <w:tcW w:w="1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334"/>
        </w:trPr>
        <w:tc>
          <w:tcPr>
            <w:tcW w:w="5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Notice and Agent for Service of Process Information:</w:t>
            </w:r>
          </w:p>
        </w:tc>
        <w:tc>
          <w:tcPr>
            <w:tcW w:w="1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If to:</w:t>
            </w:r>
          </w:p>
        </w:tc>
        <w:tc>
          <w:tcPr>
            <w:tcW w:w="44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5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4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BX Mozart ML-1 Holdco L.P.</w:t>
            </w:r>
          </w:p>
        </w:tc>
        <w:tc>
          <w:tcPr>
            <w:tcW w:w="18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4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Mozart Aggregator UNLV Holdco L.P.</w:t>
            </w:r>
          </w:p>
        </w:tc>
        <w:tc>
          <w:tcPr>
            <w:tcW w:w="18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4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BX Mozart ML-2 Holdco L.P.</w:t>
            </w:r>
          </w:p>
        </w:tc>
        <w:tc>
          <w:tcPr>
            <w:tcW w:w="18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4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Mozart Aggregator II UNLV Holdco L.P</w:t>
            </w:r>
          </w:p>
        </w:tc>
        <w:tc>
          <w:tcPr>
            <w:tcW w:w="18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37" w:right="1440" w:bottom="1440" w:gutter="0" w:footer="0" w:header="0"/>
        </w:sectPr>
      </w:pPr>
    </w:p>
    <w:bookmarkStart w:id="134" w:name="page135"/>
    <w:bookmarkEnd w:id="134"/>
    <w:p>
      <w:pPr>
        <w:ind w:left="60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6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Blackstone Inc.</w:t>
      </w:r>
    </w:p>
    <w:p>
      <w:pPr>
        <w:spacing w:after="0" w:line="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345 Park Avenue</w:t>
      </w:r>
    </w:p>
    <w:p>
      <w:pPr>
        <w:spacing w:after="0" w:line="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New York, NY 10154</w:t>
      </w:r>
    </w:p>
    <w:p>
      <w:pPr>
        <w:spacing w:after="0" w:line="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Attention: Anushka Sunder</w:t>
      </w:r>
    </w:p>
    <w:p>
      <w:pPr>
        <w:spacing w:after="0" w:line="5" w:lineRule="exact"/>
        <w:rPr>
          <w:sz w:val="20"/>
          <w:szCs w:val="20"/>
          <w:color w:val="auto"/>
        </w:rPr>
      </w:pPr>
    </w:p>
    <w:p>
      <w:pPr>
        <w:jc w:val="both"/>
        <w:ind w:left="600" w:right="6919" w:firstLine="327"/>
        <w:spacing w:after="0" w:line="267" w:lineRule="auto"/>
        <w:tabs>
          <w:tab w:leader="none" w:pos="1064" w:val="left"/>
        </w:tabs>
        <w:numPr>
          <w:ilvl w:val="0"/>
          <w:numId w:val="1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Tom McMackin Email:     [email address]</w:t>
      </w:r>
    </w:p>
    <w:p>
      <w:pPr>
        <w:ind w:left="1060" w:hanging="133"/>
        <w:spacing w:after="0"/>
        <w:tabs>
          <w:tab w:leader="none" w:pos="1060" w:val="left"/>
        </w:tabs>
        <w:numPr>
          <w:ilvl w:val="0"/>
          <w:numId w:val="1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[email address]</w:t>
      </w:r>
    </w:p>
    <w:p>
      <w:pPr>
        <w:spacing w:after="0" w:line="1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If to:</w:t>
      </w:r>
    </w:p>
    <w:p>
      <w:pPr>
        <w:spacing w:after="0" w:line="99" w:lineRule="exact"/>
        <w:rPr>
          <w:sz w:val="20"/>
          <w:szCs w:val="20"/>
          <w:color w:val="auto"/>
        </w:rPr>
      </w:pPr>
    </w:p>
    <w:p>
      <w:pPr>
        <w:ind w:left="1020" w:hanging="342"/>
        <w:spacing w:after="0"/>
        <w:tabs>
          <w:tab w:leader="none" w:pos="102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Mend Partners II, L.P.</w:t>
      </w:r>
    </w:p>
    <w:p>
      <w:pPr>
        <w:spacing w:after="0" w:line="98" w:lineRule="exact"/>
        <w:rPr>
          <w:rFonts w:ascii="Times New Roman" w:cs="Times New Roman" w:eastAsia="Times New Roman" w:hAnsi="Times New Roman"/>
          <w:sz w:val="14"/>
          <w:szCs w:val="14"/>
          <w:color w:val="auto"/>
        </w:rPr>
      </w:pPr>
    </w:p>
    <w:p>
      <w:pPr>
        <w:ind w:left="1020" w:hanging="342"/>
        <w:spacing w:after="0"/>
        <w:tabs>
          <w:tab w:leader="none" w:pos="102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Mend Investment Holdings I, L.P.</w:t>
      </w:r>
    </w:p>
    <w:p>
      <w:pPr>
        <w:spacing w:after="0" w:line="98" w:lineRule="exact"/>
        <w:rPr>
          <w:rFonts w:ascii="Times New Roman" w:cs="Times New Roman" w:eastAsia="Times New Roman" w:hAnsi="Times New Roman"/>
          <w:sz w:val="14"/>
          <w:szCs w:val="14"/>
          <w:color w:val="auto"/>
        </w:rPr>
      </w:pPr>
    </w:p>
    <w:p>
      <w:pPr>
        <w:ind w:left="1020" w:hanging="342"/>
        <w:spacing w:after="0"/>
        <w:tabs>
          <w:tab w:leader="none" w:pos="1020" w:val="left"/>
        </w:tabs>
        <w:numPr>
          <w:ilvl w:val="0"/>
          <w:numId w:val="1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Hellman &amp; Friedman Capital Partners X (Parallel), L.P.</w:t>
      </w:r>
    </w:p>
    <w:p>
      <w:pPr>
        <w:spacing w:after="0" w:line="110" w:lineRule="exact"/>
        <w:rPr>
          <w:rFonts w:ascii="Times New Roman" w:cs="Times New Roman" w:eastAsia="Times New Roman" w:hAnsi="Times New Roman"/>
          <w:sz w:val="13"/>
          <w:szCs w:val="13"/>
          <w:color w:val="auto"/>
        </w:rPr>
      </w:pPr>
    </w:p>
    <w:p>
      <w:pPr>
        <w:ind w:left="1020" w:hanging="342"/>
        <w:spacing w:after="0"/>
        <w:tabs>
          <w:tab w:leader="none" w:pos="102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HFCP X (Parallel-A), L.P.</w:t>
      </w:r>
    </w:p>
    <w:p>
      <w:pPr>
        <w:spacing w:after="0" w:line="17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Hellman &amp; Friedman</w:t>
      </w:r>
    </w:p>
    <w:p>
      <w:pPr>
        <w:spacing w:after="0" w:line="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415 Mission Street, Suite 5700</w:t>
      </w:r>
    </w:p>
    <w:p>
      <w:pPr>
        <w:spacing w:after="0" w:line="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San Francisco, CA 94105</w:t>
      </w:r>
    </w:p>
    <w:p>
      <w:pPr>
        <w:spacing w:after="0" w:line="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Attention: Arrie Park</w:t>
      </w:r>
    </w:p>
    <w:p>
      <w:pPr>
        <w:spacing w:after="0" w:line="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Email: [email address]</w:t>
      </w:r>
    </w:p>
    <w:p>
      <w:pPr>
        <w:sectPr>
          <w:pgSz w:w="11900" w:h="16838" w:orient="portrait"/>
          <w:cols w:equalWidth="0" w:num="1">
            <w:col w:w="9019"/>
          </w:cols>
          <w:pgMar w:left="1440" w:top="239" w:right="1440" w:bottom="1440" w:gutter="0" w:footer="0" w:header="0"/>
        </w:sectPr>
      </w:pPr>
    </w:p>
    <w:bookmarkStart w:id="135" w:name="page136"/>
    <w:bookmarkEnd w:id="135"/>
    <w:p>
      <w:pPr>
        <w:ind w:left="2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6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If to Platinum Falcon B 2018 RSC Limited:</w:t>
      </w:r>
    </w:p>
    <w:p>
      <w:pPr>
        <w:spacing w:after="0" w:line="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Notice:</w:t>
      </w:r>
    </w:p>
    <w:p>
      <w:pPr>
        <w:spacing w:after="0" w:line="9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Platinum Falcon B 2018 RSC Limited</w:t>
      </w:r>
    </w:p>
    <w:p>
      <w:pPr>
        <w:spacing w:after="0" w:line="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Al Khatem Tower, 26th Floor</w:t>
      </w:r>
    </w:p>
    <w:p>
      <w:pPr>
        <w:spacing w:after="0" w:line="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Abu Dhabi Global Market Square</w:t>
      </w:r>
    </w:p>
    <w:p>
      <w:pPr>
        <w:spacing w:after="0" w:line="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Al Maryah Island, PO Box 25642</w:t>
      </w:r>
    </w:p>
    <w:p>
      <w:pPr>
        <w:spacing w:after="0" w:line="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Abu Dhabi, United Arab Emirates</w:t>
      </w:r>
    </w:p>
    <w:p>
      <w:pPr>
        <w:spacing w:after="0" w:line="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Email:      [email address]</w:t>
      </w:r>
    </w:p>
    <w:p>
      <w:pPr>
        <w:spacing w:after="0" w:line="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       [email address]</w:t>
      </w:r>
    </w:p>
    <w:p>
      <w:pPr>
        <w:spacing w:after="0" w:line="15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a copy to (which shall not constitute notice):</w:t>
      </w:r>
    </w:p>
    <w:p>
      <w:pPr>
        <w:spacing w:after="0" w:line="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Cleary Gottlieb Steen &amp; Hamilton LLP Al Sila Tower, 27th floor</w:t>
      </w:r>
    </w:p>
    <w:p>
      <w:pPr>
        <w:spacing w:after="0" w:line="3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Abu Dhabi Global Market Square</w:t>
      </w:r>
    </w:p>
    <w:p>
      <w:pPr>
        <w:spacing w:after="0" w:line="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Al Maryah Island, PO Box 29920</w:t>
      </w:r>
    </w:p>
    <w:p>
      <w:pPr>
        <w:spacing w:after="0" w:line="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Abu Dhabi, United Arab Emirates</w:t>
      </w:r>
    </w:p>
    <w:p>
      <w:pPr>
        <w:spacing w:after="0" w:line="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Attention: Chris Macbeth</w:t>
      </w:r>
    </w:p>
    <w:p>
      <w:pPr>
        <w:spacing w:after="0" w:line="5" w:lineRule="exact"/>
        <w:rPr>
          <w:sz w:val="20"/>
          <w:szCs w:val="20"/>
          <w:color w:val="auto"/>
        </w:rPr>
      </w:pPr>
    </w:p>
    <w:p>
      <w:pPr>
        <w:jc w:val="both"/>
        <w:ind w:left="600" w:right="6959" w:firstLine="327"/>
        <w:spacing w:after="0" w:line="267" w:lineRule="auto"/>
        <w:tabs>
          <w:tab w:leader="none" w:pos="1064" w:val="left"/>
        </w:tabs>
        <w:numPr>
          <w:ilvl w:val="0"/>
          <w:numId w:val="1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Mohamed Taha Email:     [email address]</w:t>
      </w:r>
    </w:p>
    <w:p>
      <w:pPr>
        <w:ind w:left="1060" w:hanging="133"/>
        <w:spacing w:after="0"/>
        <w:tabs>
          <w:tab w:leader="none" w:pos="1060" w:val="left"/>
        </w:tabs>
        <w:numPr>
          <w:ilvl w:val="0"/>
          <w:numId w:val="1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[email address]</w:t>
      </w:r>
    </w:p>
    <w:p>
      <w:pPr>
        <w:spacing w:after="0" w:line="2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Agent for Service of Process:</w:t>
      </w:r>
    </w:p>
    <w:p>
      <w:pPr>
        <w:spacing w:after="0" w:line="9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Morgan, Lewis &amp; Bockius LLP</w:t>
      </w:r>
    </w:p>
    <w:p>
      <w:pPr>
        <w:spacing w:after="0" w:line="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101 Park Avenue</w:t>
      </w:r>
    </w:p>
    <w:p>
      <w:pPr>
        <w:spacing w:after="0" w:line="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New York, NY 10178-0060</w:t>
      </w:r>
    </w:p>
    <w:p>
      <w:pPr>
        <w:spacing w:after="0" w:line="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Attention: Courtney Nowell</w:t>
      </w:r>
    </w:p>
    <w:p>
      <w:pPr>
        <w:spacing w:after="0" w:line="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Email:      [email address]</w:t>
      </w:r>
    </w:p>
    <w:p>
      <w:pPr>
        <w:sectPr>
          <w:pgSz w:w="11900" w:h="16838" w:orient="portrait"/>
          <w:cols w:equalWidth="0" w:num="1">
            <w:col w:w="9019"/>
          </w:cols>
          <w:pgMar w:left="1440" w:top="239" w:right="1440" w:bottom="1440" w:gutter="0" w:footer="0" w:header="0"/>
        </w:sectPr>
      </w:pPr>
    </w:p>
    <w:bookmarkStart w:id="136" w:name="page137"/>
    <w:bookmarkEnd w:id="13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6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SCHEDULE III</w:t>
      </w:r>
    </w:p>
    <w:p>
      <w:pPr>
        <w:spacing w:after="0" w:line="174" w:lineRule="exact"/>
        <w:rPr>
          <w:sz w:val="20"/>
          <w:szCs w:val="20"/>
          <w:color w:val="auto"/>
        </w:rPr>
      </w:pPr>
    </w:p>
    <w:p>
      <w:pPr>
        <w:ind w:left="600" w:right="4079" w:hanging="338"/>
        <w:spacing w:after="0" w:line="402" w:lineRule="auto"/>
        <w:tabs>
          <w:tab w:leader="none" w:pos="449"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Issuer Free Writing Prospectuses not included in the Pricing Disclosure Package: Electronic roadshow dated May [_______], 2026</w:t>
      </w:r>
    </w:p>
    <w:p>
      <w:pPr>
        <w:spacing w:after="0" w:line="42" w:lineRule="exact"/>
        <w:rPr>
          <w:rFonts w:ascii="Times New Roman" w:cs="Times New Roman" w:eastAsia="Times New Roman" w:hAnsi="Times New Roman"/>
          <w:sz w:val="14"/>
          <w:szCs w:val="14"/>
          <w:color w:val="auto"/>
        </w:rPr>
      </w:pPr>
    </w:p>
    <w:p>
      <w:pPr>
        <w:ind w:left="460" w:hanging="198"/>
        <w:spacing w:after="0"/>
        <w:tabs>
          <w:tab w:leader="none" w:pos="46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Documents Incorporated by Reference:</w:t>
      </w:r>
    </w:p>
    <w:p>
      <w:pPr>
        <w:spacing w:after="0" w:line="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None</w:t>
      </w:r>
    </w:p>
    <w:p>
      <w:pPr>
        <w:spacing w:after="0" w:line="172" w:lineRule="exact"/>
        <w:rPr>
          <w:sz w:val="20"/>
          <w:szCs w:val="20"/>
          <w:color w:val="auto"/>
        </w:rPr>
      </w:pPr>
    </w:p>
    <w:p>
      <w:pPr>
        <w:ind w:left="600" w:right="4399" w:hanging="338"/>
        <w:spacing w:after="0" w:line="402" w:lineRule="auto"/>
        <w:tabs>
          <w:tab w:leader="none" w:pos="449"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Issuer Free Writing Prospectus included in the Pricing Disclosure Package: None</w:t>
      </w:r>
    </w:p>
    <w:p>
      <w:pPr>
        <w:spacing w:after="0" w:line="42" w:lineRule="exact"/>
        <w:rPr>
          <w:rFonts w:ascii="Times New Roman" w:cs="Times New Roman" w:eastAsia="Times New Roman" w:hAnsi="Times New Roman"/>
          <w:sz w:val="14"/>
          <w:szCs w:val="14"/>
          <w:color w:val="auto"/>
        </w:rPr>
      </w:pPr>
    </w:p>
    <w:p>
      <w:pPr>
        <w:ind w:left="460" w:hanging="198"/>
        <w:spacing w:after="0"/>
        <w:tabs>
          <w:tab w:leader="none" w:pos="46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Pricing Information Provided Orally by Underwriters:</w:t>
      </w:r>
    </w:p>
    <w:p>
      <w:pPr>
        <w:spacing w:after="0" w:line="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The public offering price per share for the Shares is $[_______].</w:t>
      </w:r>
    </w:p>
    <w:p>
      <w:pPr>
        <w:spacing w:after="0" w:line="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The number of Firm Shares purchased by the Underwriters from the Company is [_______].</w:t>
      </w:r>
    </w:p>
    <w:p>
      <w:pPr>
        <w:spacing w:after="0" w:line="183" w:lineRule="exact"/>
        <w:rPr>
          <w:sz w:val="20"/>
          <w:szCs w:val="20"/>
          <w:color w:val="auto"/>
        </w:rPr>
      </w:pPr>
    </w:p>
    <w:p>
      <w:pPr>
        <w:ind w:left="600" w:right="6099" w:hanging="338"/>
        <w:spacing w:after="0" w:line="402" w:lineRule="auto"/>
        <w:tabs>
          <w:tab w:leader="none" w:pos="449"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Written Testing-the-Waters-Communication: [None]</w:t>
      </w:r>
    </w:p>
    <w:p>
      <w:pPr>
        <w:sectPr>
          <w:pgSz w:w="11900" w:h="16838" w:orient="portrait"/>
          <w:cols w:equalWidth="0" w:num="1">
            <w:col w:w="9019"/>
          </w:cols>
          <w:pgMar w:left="1440" w:top="237" w:right="1440" w:bottom="1440" w:gutter="0" w:footer="0" w:header="0"/>
        </w:sectPr>
      </w:pPr>
    </w:p>
    <w:bookmarkStart w:id="137" w:name="page138"/>
    <w:bookmarkEnd w:id="137"/>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6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SCHEDULE IV</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Mozart Aggregator II LP</w:t>
      </w:r>
    </w:p>
    <w:p>
      <w:pPr>
        <w:spacing w:after="0" w:line="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BX Mozart ML-1 Holdco L.P.</w:t>
      </w:r>
    </w:p>
    <w:p>
      <w:pPr>
        <w:spacing w:after="0" w:line="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BX Mozart ML-2 Holdco L.P.</w:t>
      </w:r>
    </w:p>
    <w:p>
      <w:pPr>
        <w:spacing w:after="0" w:line="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Mozart Aggregator UNLV Holdco L.P.</w:t>
      </w:r>
    </w:p>
    <w:p>
      <w:pPr>
        <w:spacing w:after="0" w:line="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Mozart Aggregator II UNLV Holdco L.P.</w:t>
      </w:r>
    </w:p>
    <w:p>
      <w:pPr>
        <w:spacing w:after="0" w:line="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Carlyle Mozart Coinvestment Holdings, L.P.</w:t>
      </w:r>
    </w:p>
    <w:p>
      <w:pPr>
        <w:spacing w:after="0" w:line="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Carlyle Mozart Coinvestment UNLV Holdco, L.P.</w:t>
      </w:r>
    </w:p>
    <w:p>
      <w:pPr>
        <w:spacing w:after="0" w:line="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CP Circle ML-1 Holdco, L.P.</w:t>
      </w:r>
    </w:p>
    <w:p>
      <w:pPr>
        <w:spacing w:after="0" w:line="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CP Circle UNLV Holdco, L.P.</w:t>
      </w:r>
    </w:p>
    <w:p>
      <w:pPr>
        <w:spacing w:after="0" w:line="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CP Circle ML-2 Holdco, L.P.</w:t>
      </w:r>
    </w:p>
    <w:p>
      <w:pPr>
        <w:spacing w:after="0" w:line="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CP Circle ML-3 Holdco, L.P.</w:t>
      </w:r>
    </w:p>
    <w:p>
      <w:pPr>
        <w:spacing w:after="0" w:line="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CP Circle ML-4 Holdco, L.P.</w:t>
      </w:r>
    </w:p>
    <w:p>
      <w:pPr>
        <w:spacing w:after="0" w:line="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CP Circle ML-5 Holdco, L.P.</w:t>
      </w:r>
    </w:p>
    <w:p>
      <w:pPr>
        <w:spacing w:after="0" w:line="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CP Circle ML-6 Holdco, L.P.</w:t>
      </w:r>
    </w:p>
    <w:p>
      <w:pPr>
        <w:spacing w:after="0" w:line="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CP Circle ML-7 Holdco, L.P.</w:t>
      </w:r>
    </w:p>
    <w:p>
      <w:pPr>
        <w:spacing w:after="0" w:line="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CPEP Circle Holdings L.P.</w:t>
      </w:r>
    </w:p>
    <w:p>
      <w:pPr>
        <w:spacing w:after="0" w:line="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Hellman &amp; Friedman Capital Partners X (Parallel), L.P.</w:t>
      </w:r>
    </w:p>
    <w:p>
      <w:pPr>
        <w:spacing w:after="0" w:line="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HFCP X (Parallel-A), L.P.</w:t>
      </w:r>
    </w:p>
    <w:p>
      <w:pPr>
        <w:spacing w:after="0" w:line="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Mend Partners II, L.P.</w:t>
      </w:r>
    </w:p>
    <w:p>
      <w:pPr>
        <w:spacing w:after="0" w:line="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Mend Investment Holdings I, L.P.</w:t>
      </w:r>
    </w:p>
    <w:p>
      <w:pPr>
        <w:spacing w:after="0" w:line="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Mozart HoldCo, Inc.</w:t>
      </w:r>
    </w:p>
    <w:p>
      <w:pPr>
        <w:spacing w:after="0" w:line="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AJM Mozart Generations Trust</w:t>
      </w:r>
    </w:p>
    <w:p>
      <w:pPr>
        <w:spacing w:after="0" w:line="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Baker Family Endowment Trust</w:t>
      </w:r>
    </w:p>
    <w:p>
      <w:pPr>
        <w:spacing w:after="0" w:line="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Barnett Generations Trust</w:t>
      </w:r>
    </w:p>
    <w:p>
      <w:pPr>
        <w:spacing w:after="0" w:line="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Charles N. Mills Gift Trust</w:t>
      </w:r>
    </w:p>
    <w:p>
      <w:pPr>
        <w:spacing w:after="0" w:line="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Trust K under the WDA 2018 Trust Agreement</w:t>
      </w:r>
    </w:p>
    <w:p>
      <w:pPr>
        <w:spacing w:after="0" w:line="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Platinum Falcon B 2018 RSC Limited</w:t>
      </w:r>
    </w:p>
    <w:p>
      <w:pPr>
        <w:spacing w:after="0" w:line="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Hux Investment Pte. Ltd.</w:t>
      </w:r>
    </w:p>
    <w:p>
      <w:pPr>
        <w:spacing w:after="0" w:line="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GIC Private Lte.</w:t>
      </w:r>
    </w:p>
    <w:p>
      <w:pPr>
        <w:spacing w:after="0" w:line="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James M. Boyle</w:t>
      </w:r>
    </w:p>
    <w:p>
      <w:pPr>
        <w:spacing w:after="0" w:line="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Charles N. Mills</w:t>
      </w:r>
    </w:p>
    <w:p>
      <w:pPr>
        <w:sectPr>
          <w:pgSz w:w="11900" w:h="16838" w:orient="portrait"/>
          <w:cols w:equalWidth="0" w:num="1">
            <w:col w:w="9019"/>
          </w:cols>
          <w:pgMar w:left="1440" w:top="237" w:right="1440" w:bottom="1440" w:gutter="0" w:footer="0" w:header="0"/>
        </w:sectPr>
      </w:pPr>
    </w:p>
    <w:bookmarkStart w:id="138" w:name="page139"/>
    <w:bookmarkEnd w:id="138"/>
    <w:p>
      <w:pPr>
        <w:ind w:left="2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6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Joseph P. Baratta</w:t>
      </w:r>
    </w:p>
    <w:p>
      <w:pPr>
        <w:spacing w:after="0" w:line="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Jacob D. Best</w:t>
      </w:r>
    </w:p>
    <w:p>
      <w:pPr>
        <w:spacing w:after="0" w:line="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Todd M. Bluedorn</w:t>
      </w:r>
    </w:p>
    <w:p>
      <w:pPr>
        <w:spacing w:after="0" w:line="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Richard A. Galanti</w:t>
      </w:r>
    </w:p>
    <w:p>
      <w:pPr>
        <w:spacing w:after="0" w:line="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Patrick J. Healy</w:t>
      </w:r>
    </w:p>
    <w:p>
      <w:pPr>
        <w:spacing w:after="0" w:line="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Andrew J. Mills</w:t>
      </w:r>
    </w:p>
    <w:p>
      <w:pPr>
        <w:spacing w:after="0" w:line="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Robert R. Schmidt</w:t>
      </w:r>
    </w:p>
    <w:p>
      <w:pPr>
        <w:spacing w:after="0" w:line="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Anushka M. Sunder</w:t>
      </w:r>
    </w:p>
    <w:p>
      <w:pPr>
        <w:spacing w:after="0" w:line="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Thomas W. Sweet</w:t>
      </w:r>
    </w:p>
    <w:p>
      <w:pPr>
        <w:spacing w:after="0" w:line="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Stephen H. Wise</w:t>
      </w:r>
    </w:p>
    <w:p>
      <w:pPr>
        <w:spacing w:after="0" w:line="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Michael B. Drazin</w:t>
      </w:r>
    </w:p>
    <w:p>
      <w:pPr>
        <w:spacing w:after="0" w:line="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Stephen L. Miller</w:t>
      </w:r>
    </w:p>
    <w:p>
      <w:pPr>
        <w:spacing w:after="0" w:line="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Alex M. Liberman</w:t>
      </w:r>
    </w:p>
    <w:p>
      <w:pPr>
        <w:spacing w:after="0" w:line="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Douglas P. Golwas</w:t>
      </w:r>
    </w:p>
    <w:p>
      <w:pPr>
        <w:spacing w:after="0" w:line="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Christopher P. Shryock</w:t>
      </w:r>
    </w:p>
    <w:p>
      <w:pPr>
        <w:spacing w:after="0" w:line="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Amanda H. Laabs</w:t>
      </w:r>
    </w:p>
    <w:p>
      <w:pPr>
        <w:spacing w:after="0" w:line="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William J. Abrams</w:t>
      </w:r>
    </w:p>
    <w:p>
      <w:pPr>
        <w:spacing w:after="0" w:line="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Jessi L. Corcoran</w:t>
      </w:r>
    </w:p>
    <w:p>
      <w:pPr>
        <w:sectPr>
          <w:pgSz w:w="11900" w:h="16838" w:orient="portrait"/>
          <w:cols w:equalWidth="0" w:num="1">
            <w:col w:w="9019"/>
          </w:cols>
          <w:pgMar w:left="1440" w:top="239" w:right="1440" w:bottom="1440" w:gutter="0" w:footer="0" w:header="0"/>
        </w:sectPr>
      </w:pPr>
    </w:p>
    <w:bookmarkStart w:id="139" w:name="page140"/>
    <w:bookmarkEnd w:id="139"/>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6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ANNEX II</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 of Lock Up Agreement</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Medline Inc.</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Lock-Up Agreement</w:t>
      </w:r>
    </w:p>
    <w:p>
      <w:pPr>
        <w:spacing w:after="0" w:line="8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4"/>
          <w:szCs w:val="14"/>
          <w:b w:val="1"/>
          <w:bCs w:val="1"/>
          <w:color w:val="auto"/>
        </w:rPr>
        <w:t>[_______], 2026</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Goldman Sachs &amp; Co. LLC</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Morgan Stanley &amp; Co. LLC</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BofA Securities, Inc.</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J.P. Morgan Securities LLC</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c/o Goldman Sachs &amp; Co. LLC</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200 West Street,</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New York, New York 10282</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c/o Morgan Stanley &amp; Co. LLC</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1585 Broadway,</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New York, New York 10036</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c/o BofA Securities, Inc.</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One Bryant Park,</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New York, New York 10036</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c/o J.P. Morgan Securities LLC</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270 Park Avenue,</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New York, New York 10017</w:t>
      </w:r>
    </w:p>
    <w:p>
      <w:pPr>
        <w:spacing w:after="0" w:line="177" w:lineRule="exact"/>
        <w:rPr>
          <w:sz w:val="20"/>
          <w:szCs w:val="20"/>
          <w:color w:val="auto"/>
        </w:rPr>
      </w:pPr>
    </w:p>
    <w:p>
      <w:pPr>
        <w:ind w:left="600"/>
        <w:spacing w:after="0"/>
        <w:tabs>
          <w:tab w:leader="none" w:pos="1000" w:val="left"/>
        </w:tabs>
        <w:rPr>
          <w:sz w:val="20"/>
          <w:szCs w:val="20"/>
          <w:color w:val="auto"/>
        </w:rPr>
      </w:pPr>
      <w:r>
        <w:rPr>
          <w:rFonts w:ascii="Times New Roman" w:cs="Times New Roman" w:eastAsia="Times New Roman" w:hAnsi="Times New Roman"/>
          <w:sz w:val="14"/>
          <w:szCs w:val="14"/>
          <w:color w:val="auto"/>
        </w:rPr>
        <w:t>Re:</w:t>
      </w:r>
      <w:r>
        <w:rPr>
          <w:sz w:val="20"/>
          <w:szCs w:val="20"/>
          <w:color w:val="auto"/>
        </w:rPr>
        <w:tab/>
      </w:r>
      <w:r>
        <w:rPr>
          <w:rFonts w:ascii="Times New Roman" w:cs="Times New Roman" w:eastAsia="Times New Roman" w:hAnsi="Times New Roman"/>
          <w:sz w:val="14"/>
          <w:szCs w:val="14"/>
          <w:u w:val="single" w:color="auto"/>
          <w:color w:val="auto"/>
        </w:rPr>
        <w:t>Medline Inc. - Lock-Up Agreement</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89" w:lineRule="exact"/>
        <w:rPr>
          <w:sz w:val="20"/>
          <w:szCs w:val="20"/>
          <w:color w:val="auto"/>
        </w:rPr>
      </w:pPr>
    </w:p>
    <w:p>
      <w:pPr>
        <w:ind w:left="260" w:right="439" w:firstLine="764"/>
        <w:spacing w:after="0" w:line="254" w:lineRule="auto"/>
        <w:rPr>
          <w:sz w:val="20"/>
          <w:szCs w:val="20"/>
          <w:color w:val="auto"/>
        </w:rPr>
      </w:pPr>
      <w:r>
        <w:rPr>
          <w:rFonts w:ascii="Times New Roman" w:cs="Times New Roman" w:eastAsia="Times New Roman" w:hAnsi="Times New Roman"/>
          <w:sz w:val="14"/>
          <w:szCs w:val="14"/>
          <w:color w:val="auto"/>
        </w:rPr>
        <w:t>The undersigned understands that you, as representatives (the “Representatives”), propose to enter into an Underwriting Agreement (the “Underwriting Agreement”) on behalf of the several Underwriters named in Schedule I to such agreement (collectively, the “Underwriters”), with Medline Inc., a Delaware corporation (the “Company”), Medline Holdings, LP, a Delaware limited partnership (“Medline Holdings”), and the stockholders named in Schedule II to such agreement (the “Selling Stockholders”), providing for a public offering (the “Offering”) by the Selling Stockholders of the Class A common stock, par value $0.0001 per share (the “Class A Common Stock”), of the Company (the “Shares”) pursuant to a Registration Statement on Form S-1 (the “Registration Statement”) to be filed with the Securities and Exchange Commission (the “SEC”).</w:t>
      </w:r>
    </w:p>
    <w:p>
      <w:pPr>
        <w:sectPr>
          <w:pgSz w:w="11900" w:h="16838" w:orient="portrait"/>
          <w:cols w:equalWidth="0" w:num="1">
            <w:col w:w="9019"/>
          </w:cols>
          <w:pgMar w:left="1440" w:top="237" w:right="1440" w:bottom="1440" w:gutter="0" w:footer="0" w:header="0"/>
        </w:sectPr>
      </w:pPr>
    </w:p>
    <w:bookmarkStart w:id="140" w:name="page141"/>
    <w:bookmarkEnd w:id="140"/>
    <w:p>
      <w:pPr>
        <w:ind w:left="260" w:right="279" w:firstLine="764"/>
        <w:spacing w:after="0" w:line="25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6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In consideration of the agreement by the Underwriters to offer and sell the Shares, and of other good and valuable consideration the receipt and sufficiency of which is hereby acknowledged, the undersigned agrees that, during the period beginning from the date of this agreement (the “Lock-Up Agreement”) and continuing to and including the date that is 75 days after the date set forth on the final prospectus used to sell the Shares (the “Lock-Up Period”), the undersigned will not offer, sell, contract to sell, pledge, grant any option to purchase, make any short sale or otherwise dispose of any shares of Class A Common Stock, Class B common stock, par value $0.0001 per share (the “Class B Common Stock” and, together with the Class A Common Stock, “Common Stock”), of the Company, or any options or warrants to purchase any shares of Common Stock of the Company, or any securities convertible into, exchangeable for or that represent the right to receive shares of Common Stock of the Company (including, without limitation, limited partnership interests in Medline Holdings (the “Units”)), whether now owned or hereinafter acquired, owned directly by the undersigned (including holding as a custodian) or with respect to which the undersigned has beneficial ownership within the rules and regulations of the SEC (the Units, together with the Common Stock, the “Undersigned’s Securities”). The foregoing restriction is expressly agreed to preclude the undersigned from engaging in any hedging or other transaction which is designed to or which reasonably could be expected to lead to or result in a sale or disposition of the Undersigned’s Securities even if the Undersigned’s Securities would be disposed of by someone other than the undersigned. Such prohibited hedging or other transactions would include without limitation any short sale or any purchase, sale or grant of any right (including without limitation any put or call option) with respect to any of the Undersigned’s Securities or with respect to any security that includes, relates to, or derives any significant part of its value from the Undersigned’s Securities.</w:t>
      </w:r>
    </w:p>
    <w:p>
      <w:pPr>
        <w:spacing w:after="0" w:line="146" w:lineRule="exact"/>
        <w:rPr>
          <w:sz w:val="20"/>
          <w:szCs w:val="20"/>
          <w:color w:val="auto"/>
        </w:rPr>
      </w:pPr>
    </w:p>
    <w:p>
      <w:pPr>
        <w:ind w:left="260" w:right="279" w:firstLine="339"/>
        <w:spacing w:after="0" w:line="253" w:lineRule="auto"/>
        <w:rPr>
          <w:sz w:val="20"/>
          <w:szCs w:val="20"/>
          <w:color w:val="auto"/>
        </w:rPr>
      </w:pPr>
      <w:r>
        <w:rPr>
          <w:rFonts w:ascii="Times New Roman" w:cs="Times New Roman" w:eastAsia="Times New Roman" w:hAnsi="Times New Roman"/>
          <w:sz w:val="14"/>
          <w:szCs w:val="14"/>
          <w:color w:val="auto"/>
        </w:rPr>
        <w:t xml:space="preserve">[In addition, in the event of any release or waiver of the foregoing restrictions in respect of shares of Common Stock or Units held by an affiliate of Blackstone Inc., an affiliate of The Carlyle Group Inc., an affiliate of Hellman &amp; Friedman LLC, Mozart Holdco, Inc. and/or its affiliates, Platinum Falcon B 2018 RSC Limited and/or its affiliates, or Hux Investment Pte. Ltd and/or its affiliates, the Representatives agree that shares of Common Stock or Units held by the undersigned shall be immediately, fully and irrevocably released in the same manner and on the same terms from any remaining restrictions on a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basis. The undersigned acknowledges that the Representatives are under no obligation to inquire into whether, or to ensure that, the Company notifies the undersigned of the delivery by either Goldman Sachs &amp; Co. LLC or Morgan Stanley &amp; Co. LLC, and one additional Representative, on behalf of the Underwriters, of any notice or waiver, which is a matter between the undersigned and the Company.]</w:t>
      </w:r>
    </w:p>
    <w:p>
      <w:pPr>
        <w:spacing w:after="0" w:line="14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Notwithstanding the foregoing, the undersigned may transfer the Undersigned’s Securities:</w:t>
      </w:r>
    </w:p>
    <w:p>
      <w:pPr>
        <w:spacing w:after="0" w:line="99" w:lineRule="exact"/>
        <w:rPr>
          <w:sz w:val="20"/>
          <w:szCs w:val="20"/>
          <w:color w:val="auto"/>
        </w:rPr>
      </w:pPr>
    </w:p>
    <w:p>
      <w:pPr>
        <w:ind w:left="600" w:hanging="338"/>
        <w:spacing w:after="0"/>
        <w:tabs>
          <w:tab w:leader="none" w:pos="60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will, other testamentary document or intestacy,</w:t>
      </w:r>
    </w:p>
    <w:p>
      <w:pPr>
        <w:spacing w:after="0" w:line="96" w:lineRule="exact"/>
        <w:rPr>
          <w:rFonts w:ascii="Times New Roman" w:cs="Times New Roman" w:eastAsia="Times New Roman" w:hAnsi="Times New Roman"/>
          <w:sz w:val="14"/>
          <w:szCs w:val="14"/>
          <w:color w:val="auto"/>
        </w:rPr>
      </w:pPr>
    </w:p>
    <w:p>
      <w:pPr>
        <w:ind w:left="600" w:right="719" w:hanging="338"/>
        <w:spacing w:after="0" w:line="281" w:lineRule="auto"/>
        <w:tabs>
          <w:tab w:leader="none" w:pos="60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as a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gift or gifts, or for bona fide estate planning purposes, including without limitation to charitable organizations or educational institutions,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39" w:right="1440" w:bottom="1440" w:gutter="0" w:footer="0" w:header="0"/>
        </w:sectPr>
      </w:pPr>
    </w:p>
    <w:bookmarkStart w:id="141" w:name="page142"/>
    <w:bookmarkEnd w:id="141"/>
    <w:p>
      <w:pPr>
        <w:ind w:left="600" w:right="459" w:hanging="338"/>
        <w:spacing w:after="0" w:line="278" w:lineRule="auto"/>
        <w:tabs>
          <w:tab w:leader="none" w:pos="60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to any trust, partnership, limited liability company or other entity for the direct or indirect benefit of the undersigned or the immediate family of the undersigned, or if the undersigned is a trust, to a trustor or beneficiary of the trust or to the estate of a beneficiary of such trust,</w:t>
      </w:r>
    </w:p>
    <w:p>
      <w:pPr>
        <w:spacing w:after="0" w:line="53" w:lineRule="exact"/>
        <w:rPr>
          <w:rFonts w:ascii="Times New Roman" w:cs="Times New Roman" w:eastAsia="Times New Roman" w:hAnsi="Times New Roman"/>
          <w:sz w:val="14"/>
          <w:szCs w:val="14"/>
          <w:color w:val="auto"/>
        </w:rPr>
      </w:pPr>
    </w:p>
    <w:p>
      <w:pPr>
        <w:ind w:left="600" w:hanging="338"/>
        <w:spacing w:after="0"/>
        <w:tabs>
          <w:tab w:leader="none" w:pos="60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immediate family member or other dependent of the undersigned,</w:t>
      </w:r>
    </w:p>
    <w:p>
      <w:pPr>
        <w:spacing w:after="0" w:line="98" w:lineRule="exact"/>
        <w:rPr>
          <w:rFonts w:ascii="Times New Roman" w:cs="Times New Roman" w:eastAsia="Times New Roman" w:hAnsi="Times New Roman"/>
          <w:sz w:val="14"/>
          <w:szCs w:val="14"/>
          <w:color w:val="auto"/>
        </w:rPr>
      </w:pPr>
    </w:p>
    <w:p>
      <w:pPr>
        <w:ind w:left="600" w:right="399" w:hanging="338"/>
        <w:spacing w:after="0" w:line="258" w:lineRule="auto"/>
        <w:tabs>
          <w:tab w:leader="none" w:pos="60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distribution, transfer or disposition to limited partners, members, stockholders or other equity holders of the undersigned or its affiliates (including a fund managed by the same manager or managing member or general partner or management company or by an entity controlling, controlled by, or under common control with such manager or managing member or general partner or management company as the undersigned or who shares a common investment advisor with the undersigned),</w:t>
      </w:r>
    </w:p>
    <w:p>
      <w:pPr>
        <w:spacing w:after="0" w:line="66" w:lineRule="exact"/>
        <w:rPr>
          <w:rFonts w:ascii="Times New Roman" w:cs="Times New Roman" w:eastAsia="Times New Roman" w:hAnsi="Times New Roman"/>
          <w:sz w:val="14"/>
          <w:szCs w:val="14"/>
          <w:color w:val="auto"/>
        </w:rPr>
      </w:pPr>
    </w:p>
    <w:p>
      <w:pPr>
        <w:ind w:left="600" w:right="519" w:hanging="338"/>
        <w:spacing w:after="0" w:line="258" w:lineRule="auto"/>
        <w:tabs>
          <w:tab w:leader="none" w:pos="60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undersigned’s affiliates (as defined in Rule 405 promulgated under the Securities Act of 1933, as amended) or to any investment fund or other entity controlling, controlled by, managed by or under common control, or common investment management, with the undersigned or affiliates of the undersigned (including, for the avoidance of doubt, where the undersigned is a partnership, to its general partner or a successor partnership or fund, or any other funds managed by such partnership),</w:t>
      </w:r>
    </w:p>
    <w:p>
      <w:pPr>
        <w:spacing w:after="0" w:line="66" w:lineRule="exact"/>
        <w:rPr>
          <w:rFonts w:ascii="Times New Roman" w:cs="Times New Roman" w:eastAsia="Times New Roman" w:hAnsi="Times New Roman"/>
          <w:sz w:val="14"/>
          <w:szCs w:val="14"/>
          <w:color w:val="auto"/>
        </w:rPr>
      </w:pPr>
    </w:p>
    <w:p>
      <w:pPr>
        <w:ind w:left="600" w:hanging="338"/>
        <w:spacing w:after="0"/>
        <w:tabs>
          <w:tab w:leader="none" w:pos="60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 nominee or custodian of a person or entity to whom a disposition or transfer would be permissible under clauses (i) through (vi) above,</w:t>
      </w:r>
    </w:p>
    <w:p>
      <w:pPr>
        <w:spacing w:after="0" w:line="98" w:lineRule="exact"/>
        <w:rPr>
          <w:rFonts w:ascii="Times New Roman" w:cs="Times New Roman" w:eastAsia="Times New Roman" w:hAnsi="Times New Roman"/>
          <w:sz w:val="14"/>
          <w:szCs w:val="14"/>
          <w:color w:val="auto"/>
        </w:rPr>
      </w:pPr>
    </w:p>
    <w:p>
      <w:pPr>
        <w:ind w:left="600" w:right="479" w:hanging="338"/>
        <w:spacing w:after="0" w:line="278" w:lineRule="auto"/>
        <w:tabs>
          <w:tab w:leader="none" w:pos="60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operation of law, including pursuant to an order of a court (including a final domestic order, divorce settlement, divorce decree or separation agreement or other order) or regulatory agency,</w:t>
      </w:r>
    </w:p>
    <w:p>
      <w:pPr>
        <w:spacing w:after="0" w:line="53" w:lineRule="exact"/>
        <w:rPr>
          <w:rFonts w:ascii="Times New Roman" w:cs="Times New Roman" w:eastAsia="Times New Roman" w:hAnsi="Times New Roman"/>
          <w:sz w:val="14"/>
          <w:szCs w:val="14"/>
          <w:color w:val="auto"/>
        </w:rPr>
      </w:pPr>
    </w:p>
    <w:p>
      <w:pPr>
        <w:ind w:left="600" w:right="659" w:hanging="338"/>
        <w:spacing w:after="0" w:line="278" w:lineRule="auto"/>
        <w:tabs>
          <w:tab w:leader="none" w:pos="60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Company from the undersigned upon death, disability or termination of employment, in each case, of the undersigned pursuant to any contractual arrangement that provides the Company with a right to purchase the Undersigned’s Securities,</w:t>
      </w:r>
    </w:p>
    <w:p>
      <w:pPr>
        <w:spacing w:after="0" w:line="53" w:lineRule="exact"/>
        <w:rPr>
          <w:rFonts w:ascii="Times New Roman" w:cs="Times New Roman" w:eastAsia="Times New Roman" w:hAnsi="Times New Roman"/>
          <w:sz w:val="14"/>
          <w:szCs w:val="14"/>
          <w:color w:val="auto"/>
        </w:rPr>
      </w:pPr>
    </w:p>
    <w:p>
      <w:pPr>
        <w:ind w:left="600" w:right="419" w:hanging="338"/>
        <w:spacing w:after="0" w:line="255" w:lineRule="auto"/>
        <w:tabs>
          <w:tab w:leader="none" w:pos="60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connection with transactions by any person other than the Company relating to Shares acquired [(a)] in open market transactions after the completion of the Offering [or (b) from the underwriters in any underwritten registered offering of the Class A Common Stock], </w:t>
      </w:r>
      <w:r>
        <w:rPr>
          <w:rFonts w:ascii="Times New Roman" w:cs="Times New Roman" w:eastAsia="Times New Roman" w:hAnsi="Times New Roman"/>
          <w:sz w:val="14"/>
          <w:szCs w:val="14"/>
          <w:i w:val="1"/>
          <w:iCs w:val="1"/>
          <w:color w:val="auto"/>
        </w:rPr>
        <w:t>provided that</w:t>
      </w:r>
      <w:r>
        <w:rPr>
          <w:rFonts w:ascii="Times New Roman" w:cs="Times New Roman" w:eastAsia="Times New Roman" w:hAnsi="Times New Roman"/>
          <w:sz w:val="14"/>
          <w:szCs w:val="14"/>
          <w:color w:val="auto"/>
        </w:rPr>
        <w:t xml:space="preserve"> in the case of this clause (x) no public reports or filings (including filings under Section 16(a) of the Securities Exchange Act of 1934, as amended (the “Exchange Act”)) reporting a reduction in beneficial ownership of Common Stock shall be required or shall be voluntarily made during the Lock-Up Period or any extension thereof,</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39" w:right="1440" w:bottom="1440" w:gutter="0" w:footer="0" w:header="0"/>
        </w:sectPr>
      </w:pPr>
    </w:p>
    <w:bookmarkStart w:id="142" w:name="page143"/>
    <w:bookmarkEnd w:id="142"/>
    <w:p>
      <w:pPr>
        <w:jc w:val="both"/>
        <w:ind w:left="600" w:right="319" w:hanging="338"/>
        <w:spacing w:after="0" w:line="258" w:lineRule="auto"/>
        <w:tabs>
          <w:tab w:leader="none" w:pos="60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7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 xml:space="preserve">to the Company pursuant to the “net” or “cashless” exercise at expiration of options, warrants or other rights to purchase shares of Common Stock of the Company granted pursuant to any employee equity incentive plan of the Company outstanding at or prior to the closing of the Offering and referred to in the Registration Statement, the Pricing Disclosure Package and the Prospectus (each, an “Incentive Plan”), </w:t>
      </w:r>
      <w:r>
        <w:rPr>
          <w:rFonts w:ascii="Times New Roman" w:cs="Times New Roman" w:eastAsia="Times New Roman" w:hAnsi="Times New Roman"/>
          <w:sz w:val="14"/>
          <w:szCs w:val="14"/>
          <w:i w:val="1"/>
          <w:iCs w:val="1"/>
          <w:color w:val="auto"/>
        </w:rPr>
        <w:t>provided that</w:t>
      </w:r>
      <w:r>
        <w:rPr>
          <w:rFonts w:ascii="Times New Roman" w:cs="Times New Roman" w:eastAsia="Times New Roman" w:hAnsi="Times New Roman"/>
          <w:sz w:val="14"/>
          <w:szCs w:val="14"/>
          <w:color w:val="auto"/>
        </w:rPr>
        <w:t xml:space="preserve"> any shares of Common Stock or Units received in connection therewith shall be subject to the terms of this Lock-up Agreement,</w:t>
      </w:r>
    </w:p>
    <w:p>
      <w:pPr>
        <w:spacing w:after="0" w:line="66" w:lineRule="exact"/>
        <w:rPr>
          <w:rFonts w:ascii="Times New Roman" w:cs="Times New Roman" w:eastAsia="Times New Roman" w:hAnsi="Times New Roman"/>
          <w:sz w:val="14"/>
          <w:szCs w:val="14"/>
          <w:color w:val="auto"/>
        </w:rPr>
      </w:pPr>
    </w:p>
    <w:p>
      <w:pPr>
        <w:jc w:val="both"/>
        <w:ind w:left="600" w:right="559" w:hanging="338"/>
        <w:spacing w:after="0" w:line="263" w:lineRule="auto"/>
        <w:tabs>
          <w:tab w:leader="none" w:pos="60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respect of tax withholding payments (including estimated taxes) due upon the exercise at expiration of options or the vesting of any awards granted by the Company pursuant to any Incentive Plan of the Company, </w:t>
      </w:r>
      <w:r>
        <w:rPr>
          <w:rFonts w:ascii="Times New Roman" w:cs="Times New Roman" w:eastAsia="Times New Roman" w:hAnsi="Times New Roman"/>
          <w:sz w:val="14"/>
          <w:szCs w:val="14"/>
          <w:i w:val="1"/>
          <w:iCs w:val="1"/>
          <w:color w:val="auto"/>
        </w:rPr>
        <w:t>provided that</w:t>
      </w:r>
      <w:r>
        <w:rPr>
          <w:rFonts w:ascii="Times New Roman" w:cs="Times New Roman" w:eastAsia="Times New Roman" w:hAnsi="Times New Roman"/>
          <w:sz w:val="14"/>
          <w:szCs w:val="14"/>
          <w:color w:val="auto"/>
        </w:rPr>
        <w:t xml:space="preserve"> any filings required to be made with the SEC or other publicity made regarding the same will indicate that such transactions relate to such tax withholding payments,</w:t>
      </w:r>
    </w:p>
    <w:p>
      <w:pPr>
        <w:spacing w:after="0" w:line="63" w:lineRule="exact"/>
        <w:rPr>
          <w:rFonts w:ascii="Times New Roman" w:cs="Times New Roman" w:eastAsia="Times New Roman" w:hAnsi="Times New Roman"/>
          <w:sz w:val="14"/>
          <w:szCs w:val="14"/>
          <w:color w:val="auto"/>
        </w:rPr>
      </w:pPr>
    </w:p>
    <w:p>
      <w:pPr>
        <w:ind w:left="600" w:right="319" w:hanging="338"/>
        <w:spacing w:after="0" w:line="251" w:lineRule="auto"/>
        <w:tabs>
          <w:tab w:leader="none" w:pos="60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[as any pledge, charge, hypothecation or other granting of a security interest in the Common Stock, Units or as any security convertible into Common Stock to one or more banks, financial or other lending institutions (“Lenders”) as collateral or security for or in connection with any margin loan or other loans, advances or extensions of credit entered into by the undersigned or any of its direct or indirect subsidiaries and any transfers of such Common Stock, Units or such other securities to the applicable Lender(s) or other third parties upon or following foreclosure upon or enforcement of such Common Stock, Units or such securities in accordance with the terms of the documentation governing any margin loan or other loan, advance, or extension of credit (including, without limitation, pursuant to any agreement or arrangement existing as of the date hereof) and any transfers of such Common Stock, Units or such other securities among wholly owned subsidiaries of the undersigned to provide for the foregoing, </w:t>
      </w:r>
      <w:r>
        <w:rPr>
          <w:rFonts w:ascii="Times New Roman" w:cs="Times New Roman" w:eastAsia="Times New Roman" w:hAnsi="Times New Roman"/>
          <w:sz w:val="14"/>
          <w:szCs w:val="14"/>
          <w:i w:val="1"/>
          <w:iCs w:val="1"/>
          <w:color w:val="auto"/>
        </w:rPr>
        <w:t>provided that</w:t>
      </w:r>
      <w:r>
        <w:rPr>
          <w:rFonts w:ascii="Times New Roman" w:cs="Times New Roman" w:eastAsia="Times New Roman" w:hAnsi="Times New Roman"/>
          <w:sz w:val="14"/>
          <w:szCs w:val="14"/>
          <w:color w:val="auto"/>
        </w:rPr>
        <w:t xml:space="preserve"> any such subsidiaries that are not a party to a Lock-Up Agreement execute and deliver to the Representatives a Lock-Up Agreement in substantially the same form as this Lock-Up Agreement, and </w:t>
      </w:r>
      <w:r>
        <w:rPr>
          <w:rFonts w:ascii="Times New Roman" w:cs="Times New Roman" w:eastAsia="Times New Roman" w:hAnsi="Times New Roman"/>
          <w:sz w:val="14"/>
          <w:szCs w:val="14"/>
          <w:i w:val="1"/>
          <w:iCs w:val="1"/>
          <w:color w:val="auto"/>
        </w:rPr>
        <w:t>provided further that</w:t>
      </w:r>
      <w:r>
        <w:rPr>
          <w:rFonts w:ascii="Times New Roman" w:cs="Times New Roman" w:eastAsia="Times New Roman" w:hAnsi="Times New Roman"/>
          <w:sz w:val="14"/>
          <w:szCs w:val="14"/>
          <w:color w:val="auto"/>
        </w:rPr>
        <w:t xml:space="preserve"> the undersigned or the Company, as the case may be, shall provide the Representatives prior written notice informing them of any public filing, report or announcement with respect to such pledge, hypothecation or other grant of a security interest;]</w:t>
      </w:r>
    </w:p>
    <w:p>
      <w:pPr>
        <w:spacing w:after="0" w:line="71" w:lineRule="exact"/>
        <w:rPr>
          <w:rFonts w:ascii="Times New Roman" w:cs="Times New Roman" w:eastAsia="Times New Roman" w:hAnsi="Times New Roman"/>
          <w:sz w:val="14"/>
          <w:szCs w:val="14"/>
          <w:color w:val="auto"/>
        </w:rPr>
      </w:pPr>
    </w:p>
    <w:p>
      <w:pPr>
        <w:ind w:left="600" w:right="459" w:hanging="338"/>
        <w:spacing w:after="0" w:line="278" w:lineRule="auto"/>
        <w:tabs>
          <w:tab w:leader="none" w:pos="60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the sale of the Undersigned’s Securities to be sold by the undersigned in the manner described in the final prospectus used to sell the Shares,</w:t>
      </w:r>
    </w:p>
    <w:p>
      <w:pPr>
        <w:spacing w:after="0" w:line="53" w:lineRule="exact"/>
        <w:rPr>
          <w:rFonts w:ascii="Times New Roman" w:cs="Times New Roman" w:eastAsia="Times New Roman" w:hAnsi="Times New Roman"/>
          <w:sz w:val="14"/>
          <w:szCs w:val="14"/>
          <w:color w:val="auto"/>
        </w:rPr>
      </w:pPr>
    </w:p>
    <w:p>
      <w:pPr>
        <w:ind w:left="600" w:right="279" w:hanging="338"/>
        <w:spacing w:after="0" w:line="253" w:lineRule="auto"/>
        <w:tabs>
          <w:tab w:leader="none" w:pos="60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pursuant to a bona fide third-party tender offer, merger, consolidation or other similar transaction that is approved by the board of directors of the Company and made to all holders of the Company’s capital stock involving a Change of Control (as defined below) of the Company (for purposes hereof, “Change of Control” 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at least a majority of the outstanding voting securities of the Company (or the surviving entity)); </w:t>
      </w:r>
      <w:r>
        <w:rPr>
          <w:rFonts w:ascii="Times New Roman" w:cs="Times New Roman" w:eastAsia="Times New Roman" w:hAnsi="Times New Roman"/>
          <w:sz w:val="14"/>
          <w:szCs w:val="14"/>
          <w:i w:val="1"/>
          <w:iCs w:val="1"/>
          <w:color w:val="auto"/>
        </w:rPr>
        <w:t>provided that</w:t>
      </w:r>
      <w:r>
        <w:rPr>
          <w:rFonts w:ascii="Times New Roman" w:cs="Times New Roman" w:eastAsia="Times New Roman" w:hAnsi="Times New Roman"/>
          <w:sz w:val="14"/>
          <w:szCs w:val="14"/>
          <w:color w:val="auto"/>
        </w:rPr>
        <w:t xml:space="preserve"> in the event that such tender offer, merger, consolidation or other similar transaction is not completed, the Undersigned’s Securities shall remain subject to the provisions of this Lock-Up Agreement; and/or</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39" w:right="1440" w:bottom="1440" w:gutter="0" w:footer="0" w:header="0"/>
        </w:sectPr>
      </w:pPr>
    </w:p>
    <w:bookmarkStart w:id="143" w:name="page144"/>
    <w:bookmarkEnd w:id="143"/>
    <w:p>
      <w:pPr>
        <w:ind w:left="600" w:right="279" w:hanging="338"/>
        <w:spacing w:after="0" w:line="318" w:lineRule="auto"/>
        <w:tabs>
          <w:tab w:leader="none" w:pos="600" w:val="left"/>
        </w:tabs>
        <w:numPr>
          <w:ilvl w:val="0"/>
          <w:numId w:val="1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7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 xml:space="preserve">with the prior written consent of either Goldman Sachs &amp; Co. LLC or Morgan Stanley &amp; Co. LLC, and one additional Representative, on behalf of the Underwriters; </w:t>
      </w:r>
      <w:r>
        <w:rPr>
          <w:rFonts w:ascii="Times New Roman" w:cs="Times New Roman" w:eastAsia="Times New Roman" w:hAnsi="Times New Roman"/>
          <w:sz w:val="13"/>
          <w:szCs w:val="13"/>
          <w:i w:val="1"/>
          <w:iCs w:val="1"/>
          <w:color w:val="auto"/>
        </w:rPr>
        <w:t>provided that</w:t>
      </w:r>
      <w:r>
        <w:rPr>
          <w:rFonts w:ascii="Times New Roman" w:cs="Times New Roman" w:eastAsia="Times New Roman" w:hAnsi="Times New Roman"/>
          <w:sz w:val="13"/>
          <w:szCs w:val="13"/>
          <w:color w:val="auto"/>
        </w:rPr>
        <w:t xml:space="preserve"> the Company or undersigned shall also provide prior written notice to the other Representatives; </w:t>
      </w:r>
      <w:r>
        <w:rPr>
          <w:rFonts w:ascii="Times New Roman" w:cs="Times New Roman" w:eastAsia="Times New Roman" w:hAnsi="Times New Roman"/>
          <w:sz w:val="13"/>
          <w:szCs w:val="13"/>
          <w:i w:val="1"/>
          <w:iCs w:val="1"/>
          <w:color w:val="auto"/>
        </w:rPr>
        <w:t>provided that</w:t>
      </w:r>
      <w:r>
        <w:rPr>
          <w:rFonts w:ascii="Times New Roman" w:cs="Times New Roman" w:eastAsia="Times New Roman" w:hAnsi="Times New Roman"/>
          <w:sz w:val="13"/>
          <w:szCs w:val="13"/>
          <w:color w:val="auto"/>
        </w:rPr>
        <w:t>:</w:t>
      </w:r>
    </w:p>
    <w:p>
      <w:pPr>
        <w:spacing w:after="0" w:line="30" w:lineRule="exact"/>
        <w:rPr>
          <w:rFonts w:ascii="Times New Roman" w:cs="Times New Roman" w:eastAsia="Times New Roman" w:hAnsi="Times New Roman"/>
          <w:sz w:val="13"/>
          <w:szCs w:val="13"/>
          <w:color w:val="auto"/>
        </w:rPr>
      </w:pPr>
    </w:p>
    <w:p>
      <w:pPr>
        <w:ind w:left="1020" w:right="299" w:hanging="426"/>
        <w:spacing w:after="0" w:line="254" w:lineRule="auto"/>
        <w:tabs>
          <w:tab w:leader="none" w:pos="1020" w:val="left"/>
        </w:tabs>
        <w:numPr>
          <w:ilvl w:val="1"/>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in the case of each transfer or distribution pursuant to clauses (ii) through (viii) above, each donee, trustee, distributee or transferee, as the case may be, agrees to be bound in writing by the restrictions set forth herein (and, in the case of clause (viii), the undersigned shall use reasonable best efforts to cause the transferee to deliver to the Representatives a lock-up letter in the form of this Lock-Up Agreement); and (b) in the case of transfers pursuant to clauses (ii), (iii), (iv), (v) and (vii), any such transfer or distribution shall not involve a disposition for value, other than with respect to any such transfer or distribution for which the transferor or distributor receives (x) equity interests of such transferee or (y) such transferee’s interests in the transferor;</w:t>
      </w:r>
    </w:p>
    <w:p>
      <w:pPr>
        <w:spacing w:after="0" w:line="69" w:lineRule="exact"/>
        <w:rPr>
          <w:rFonts w:ascii="Times New Roman" w:cs="Times New Roman" w:eastAsia="Times New Roman" w:hAnsi="Times New Roman"/>
          <w:sz w:val="14"/>
          <w:szCs w:val="14"/>
          <w:color w:val="auto"/>
        </w:rPr>
      </w:pPr>
    </w:p>
    <w:p>
      <w:pPr>
        <w:ind w:left="1020" w:right="419" w:hanging="426"/>
        <w:spacing w:after="0" w:line="255" w:lineRule="auto"/>
        <w:tabs>
          <w:tab w:leader="none" w:pos="1020" w:val="left"/>
        </w:tabs>
        <w:numPr>
          <w:ilvl w:val="1"/>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each transfer or distribution pursuant to clauses (ii) through (vii), if any public reports or filings (including filings under Section 16(a) of the Exchange Act) reporting a reduction in beneficial ownership of Common Stock shall be required or shall be voluntarily made during the Lock-Up Period or any extension thereof (a) the undersigned shall provide the Representatives prior written notice informing it of such report or filing and (b) such report or filing shall disclose that such donee, trustee, distributee or transferee, as the case may be, agrees to be bound in writing by the restrictions set forth herein; and</w:t>
      </w:r>
    </w:p>
    <w:p>
      <w:pPr>
        <w:spacing w:after="0" w:line="70" w:lineRule="exact"/>
        <w:rPr>
          <w:rFonts w:ascii="Times New Roman" w:cs="Times New Roman" w:eastAsia="Times New Roman" w:hAnsi="Times New Roman"/>
          <w:sz w:val="14"/>
          <w:szCs w:val="14"/>
          <w:color w:val="auto"/>
        </w:rPr>
      </w:pPr>
    </w:p>
    <w:p>
      <w:pPr>
        <w:ind w:left="1020" w:right="319" w:hanging="426"/>
        <w:spacing w:after="0" w:line="255" w:lineRule="auto"/>
        <w:tabs>
          <w:tab w:leader="none" w:pos="1020" w:val="left"/>
        </w:tabs>
        <w:numPr>
          <w:ilvl w:val="1"/>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each transfer or distribution pursuant to clauses (viii) and (xii), if any public reports or filings (including filings under Section 16(a) of the Exchange Act) reporting a reduction in beneficial ownership of Common Stock shall be required or shall be voluntarily made during the Lock-Up Period or any extension thereof (a) the undersigned shall provide the Representatives prior written notice informing it of such report or filing and (b) such report or filing shall disclose that such transfer or distributions was made under the circumstances described in clause (viii) or (xii), as applicable.</w:t>
      </w:r>
    </w:p>
    <w:p>
      <w:pPr>
        <w:spacing w:after="0" w:line="143" w:lineRule="exact"/>
        <w:rPr>
          <w:sz w:val="20"/>
          <w:szCs w:val="20"/>
          <w:color w:val="auto"/>
        </w:rPr>
      </w:pPr>
    </w:p>
    <w:p>
      <w:pPr>
        <w:ind w:left="260" w:right="359" w:firstLine="764"/>
        <w:spacing w:after="0" w:line="254" w:lineRule="auto"/>
        <w:rPr>
          <w:sz w:val="20"/>
          <w:szCs w:val="20"/>
          <w:color w:val="auto"/>
        </w:rPr>
      </w:pPr>
      <w:r>
        <w:rPr>
          <w:rFonts w:ascii="Times New Roman" w:cs="Times New Roman" w:eastAsia="Times New Roman" w:hAnsi="Times New Roman"/>
          <w:sz w:val="14"/>
          <w:szCs w:val="14"/>
          <w:color w:val="auto"/>
        </w:rPr>
        <w:t>[Notwithstanding the foregoing, clauses (1)(a) and 2(b) above shall not apply with respect to any transfer of shares of Common Stock to charitable organization transferees or recipients (including any direct or indirect member or partner of the undersigned that receives such shares of Common Stock pursuant to a distribution in-kind to such member or partner and is subject to restrictions requiring such shares of Common Stock to be transferred only to charitable organizations pursuant to clause (ii) above) in an aggregate amount, together with any such transfers by the undersigned and the undersigned’s affiliates pursuant to any substantially similar lock-up agreement with the Representatives, not to exceed 1.0% of the outstanding shares of Common Stock (treating as outstanding, shares of Class A Common Stock issuable on exchange of Units in Medline</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39" w:right="1440" w:bottom="1440" w:gutter="0" w:footer="0" w:header="0"/>
        </w:sectPr>
      </w:pPr>
    </w:p>
    <w:bookmarkStart w:id="144" w:name="page145"/>
    <w:bookmarkEnd w:id="144"/>
    <w:p>
      <w:pPr>
        <w:jc w:val="both"/>
        <w:ind w:left="260" w:right="599"/>
        <w:spacing w:after="0" w:line="26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7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Holdings not held by the Company). For the avoidance of doubt, any transfer of shares of Common Stock to a charitable organization transferee or recipient that has agreed in writing to be bound by the same terms described in this Lock-Up Agreement to the extent and for the duration that such terms remain in effect at the time of the transfer shall not count towards the percentage in the preceding sentence.]</w:t>
      </w:r>
    </w:p>
    <w:p>
      <w:pPr>
        <w:spacing w:after="0" w:line="136" w:lineRule="exact"/>
        <w:rPr>
          <w:sz w:val="20"/>
          <w:szCs w:val="20"/>
          <w:color w:val="auto"/>
        </w:rPr>
      </w:pPr>
    </w:p>
    <w:p>
      <w:pPr>
        <w:ind w:left="260" w:right="279" w:firstLine="764"/>
        <w:spacing w:after="0" w:line="256" w:lineRule="auto"/>
        <w:rPr>
          <w:sz w:val="20"/>
          <w:szCs w:val="20"/>
          <w:color w:val="auto"/>
        </w:rPr>
      </w:pPr>
      <w:r>
        <w:rPr>
          <w:rFonts w:ascii="Times New Roman" w:cs="Times New Roman" w:eastAsia="Times New Roman" w:hAnsi="Times New Roman"/>
          <w:sz w:val="14"/>
          <w:szCs w:val="14"/>
          <w:color w:val="auto"/>
        </w:rPr>
        <w:t>In addition, notwithstanding the foregoing, if the undersigned is a corporation, the corporation may transfer the Undersigned’s Securities to any wholly owned subsidiary of such corporation; provided, however, that in any such case, it shall be a condition to the transfer that the transferee execute an agreement stating that the transferee is receiving and holding such shares of Common Stock or Units subject to the provisions of this Lock-Up Agreement and there shall be no further transfer of such shares of Common Stock or Units except in accordance with this Lock-Up Agreement.</w:t>
      </w:r>
    </w:p>
    <w:p>
      <w:pPr>
        <w:spacing w:after="0" w:line="311" w:lineRule="exact"/>
        <w:rPr>
          <w:sz w:val="20"/>
          <w:szCs w:val="20"/>
          <w:color w:val="auto"/>
        </w:rPr>
      </w:pPr>
    </w:p>
    <w:p>
      <w:pPr>
        <w:ind w:left="260" w:right="339" w:firstLine="764"/>
        <w:spacing w:after="0" w:line="253" w:lineRule="auto"/>
        <w:rPr>
          <w:sz w:val="20"/>
          <w:szCs w:val="20"/>
          <w:color w:val="auto"/>
        </w:rPr>
      </w:pPr>
      <w:r>
        <w:rPr>
          <w:rFonts w:ascii="Times New Roman" w:cs="Times New Roman" w:eastAsia="Times New Roman" w:hAnsi="Times New Roman"/>
          <w:sz w:val="14"/>
          <w:szCs w:val="14"/>
          <w:color w:val="auto"/>
        </w:rPr>
        <w:t xml:space="preserve">The restrictions described in this Lock-Up Agreement shall not apply to the establishment of a trading plan pursuant to Rule 10b5-1 under the Exchange Act, </w:t>
      </w:r>
      <w:r>
        <w:rPr>
          <w:rFonts w:ascii="Times New Roman" w:cs="Times New Roman" w:eastAsia="Times New Roman" w:hAnsi="Times New Roman"/>
          <w:sz w:val="14"/>
          <w:szCs w:val="14"/>
          <w:i w:val="1"/>
          <w:iCs w:val="1"/>
          <w:color w:val="auto"/>
        </w:rPr>
        <w:t>provided that</w:t>
      </w:r>
      <w:r>
        <w:rPr>
          <w:rFonts w:ascii="Times New Roman" w:cs="Times New Roman" w:eastAsia="Times New Roman" w:hAnsi="Times New Roman"/>
          <w:sz w:val="14"/>
          <w:szCs w:val="14"/>
          <w:color w:val="auto"/>
        </w:rPr>
        <w:t xml:space="preserve"> (i) no transfers occur under such plan during the Lock-Up Period and (ii) no public announcement, filing or report under the Exchange Act shall be voluntarily made by any person in connection therewith during the Lock-Up Period (other than general disclosure in Company periodic reports to the effect that Company directors and officers may enter into such trading plans from time to time) and, if any announcement, filing or report shall be legally required during the Lock-Up Period, such announcement, filing or report shall clearly indicate therein that none of the securities subject to such plan may be transferred, sold, or otherwise disposed of pursuant to such plan until after expiration of the Lock-Up Period.</w:t>
      </w:r>
    </w:p>
    <w:p>
      <w:pPr>
        <w:spacing w:after="0" w:line="143" w:lineRule="exact"/>
        <w:rPr>
          <w:sz w:val="20"/>
          <w:szCs w:val="20"/>
          <w:color w:val="auto"/>
        </w:rPr>
      </w:pPr>
    </w:p>
    <w:p>
      <w:pPr>
        <w:ind w:left="260" w:right="659" w:firstLine="764"/>
        <w:spacing w:after="0" w:line="278" w:lineRule="auto"/>
        <w:rPr>
          <w:sz w:val="20"/>
          <w:szCs w:val="20"/>
          <w:color w:val="auto"/>
        </w:rPr>
      </w:pPr>
      <w:r>
        <w:rPr>
          <w:rFonts w:ascii="Times New Roman" w:cs="Times New Roman" w:eastAsia="Times New Roman" w:hAnsi="Times New Roman"/>
          <w:sz w:val="14"/>
          <w:szCs w:val="14"/>
          <w:color w:val="auto"/>
        </w:rPr>
        <w:t>For purposes of this Lock-Up Agreement, “immediate family” shall mean any relationship by blood, marriage or adoption, not more remote than first cousin.</w:t>
      </w:r>
    </w:p>
    <w:p>
      <w:pPr>
        <w:spacing w:after="0" w:line="126" w:lineRule="exact"/>
        <w:rPr>
          <w:sz w:val="20"/>
          <w:szCs w:val="20"/>
          <w:color w:val="auto"/>
        </w:rPr>
      </w:pPr>
    </w:p>
    <w:p>
      <w:pPr>
        <w:ind w:left="260" w:right="279" w:firstLine="764"/>
        <w:spacing w:after="0" w:line="251" w:lineRule="auto"/>
        <w:rPr>
          <w:sz w:val="20"/>
          <w:szCs w:val="20"/>
          <w:color w:val="auto"/>
        </w:rPr>
      </w:pPr>
      <w:r>
        <w:rPr>
          <w:rFonts w:ascii="Times New Roman" w:cs="Times New Roman" w:eastAsia="Times New Roman" w:hAnsi="Times New Roman"/>
          <w:sz w:val="14"/>
          <w:szCs w:val="14"/>
          <w:color w:val="auto"/>
        </w:rPr>
        <w:t xml:space="preserve">The restrictions described in this Lock-Up Agreement shall not apply to (i) the sale of the Undersigned’s Securities to the Company or any of its subsidiaries in connection with the purchase of Shares and/or Units from the undersigned by the Company or any of its subsidiaries with the net proceeds of the public offering as contemplated in the Pricing Disclosure Package; (ii) any sales made pursuant to a trading plan adopted pursuant to Rule 10b5-1 of the Exchange Act prior to the date of this Lock-Up Agreement,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any filing under Section 16(a) of the Exchange Act that is made in connection with any such sales during the Lock-Up Period shall state that such sales have been executed under a trading plan pursuant to Rule 10b5-1 under the Exchange Act, and shall also state the date such trading plan was adopted; (iii) any reclassification or conversion of Shares or conversion or exchange of Units for Shares; or (iv) any call options written by the undersigned, and any disposition of the Undersigned’s Securities made upon exercise of call options written by the undersigned, and any pledge of such Undersigned’s Securities as security thereunder and any exercises of remedies with respect to such Undersigned’s Securities under such pledges, </w:t>
      </w:r>
      <w:r>
        <w:rPr>
          <w:rFonts w:ascii="Times New Roman" w:cs="Times New Roman" w:eastAsia="Times New Roman" w:hAnsi="Times New Roman"/>
          <w:sz w:val="14"/>
          <w:szCs w:val="14"/>
          <w:i w:val="1"/>
          <w:iCs w:val="1"/>
          <w:color w:val="auto"/>
        </w:rPr>
        <w:t>provided that</w:t>
      </w:r>
      <w:r>
        <w:rPr>
          <w:rFonts w:ascii="Times New Roman" w:cs="Times New Roman" w:eastAsia="Times New Roman" w:hAnsi="Times New Roman"/>
          <w:sz w:val="14"/>
          <w:szCs w:val="14"/>
          <w:color w:val="auto"/>
        </w:rPr>
        <w:t>, in the case of clause (iii) such Shares shall be subject to the provisions of this Lock-Up Agreement.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39" w:right="1440" w:bottom="1440" w:gutter="0" w:footer="0" w:header="0"/>
        </w:sectPr>
      </w:pPr>
    </w:p>
    <w:bookmarkStart w:id="145" w:name="page146"/>
    <w:bookmarkEnd w:id="145"/>
    <w:p>
      <w:pPr>
        <w:jc w:val="both"/>
        <w:ind w:left="260" w:right="739" w:firstLine="764"/>
        <w:spacing w:after="0" w:line="26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7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In furtherance of the foregoing, the Company, and any duly appointed transfer agent for the registration or transfer of the securities described herein, are hereby authorized to decline to make any transfer of securities if such transfer would constitute a violation or breach of this Lock-Up Agreement.</w:t>
      </w:r>
    </w:p>
    <w:p>
      <w:pPr>
        <w:spacing w:after="0" w:line="136" w:lineRule="exact"/>
        <w:rPr>
          <w:sz w:val="20"/>
          <w:szCs w:val="20"/>
          <w:color w:val="auto"/>
        </w:rPr>
      </w:pPr>
    </w:p>
    <w:p>
      <w:pPr>
        <w:ind w:left="260" w:right="339" w:firstLine="764"/>
        <w:spacing w:after="0" w:line="254" w:lineRule="auto"/>
        <w:rPr>
          <w:sz w:val="20"/>
          <w:szCs w:val="20"/>
          <w:color w:val="auto"/>
        </w:rPr>
      </w:pPr>
      <w:r>
        <w:rPr>
          <w:rFonts w:ascii="Times New Roman" w:cs="Times New Roman" w:eastAsia="Times New Roman" w:hAnsi="Times New Roman"/>
          <w:sz w:val="14"/>
          <w:szCs w:val="14"/>
          <w:color w:val="auto"/>
        </w:rPr>
        <w:t>The undersigned hereby represents and warrants that the undersigned has full power and authority to enter into this Lock-Up Agreement. All authority herein conferred or agreed to be conferred and any obligations of the undersigned shall be binding upon the successors, assigns, heirs or personal representatives of the undersigned. Any signature to this Lock-Up Agreement may be delivered by facsimile, electronic mail (including pdf) or any electronic signature complying with the U.S. federal ESIGN Act of 2000 or the New York Electronic Signature and Records Act or other transmission method and any counterpart so delivered shall be deemed to have been duly and validly delivered and be valid and effective for all purposes to the fullest extent permitted by applicable law.</w:t>
      </w:r>
    </w:p>
    <w:p>
      <w:pPr>
        <w:spacing w:after="0" w:line="142" w:lineRule="exact"/>
        <w:rPr>
          <w:sz w:val="20"/>
          <w:szCs w:val="20"/>
          <w:color w:val="auto"/>
        </w:rPr>
      </w:pPr>
    </w:p>
    <w:p>
      <w:pPr>
        <w:ind w:left="260" w:right="299" w:firstLine="764"/>
        <w:spacing w:after="0" w:line="277" w:lineRule="auto"/>
        <w:rPr>
          <w:sz w:val="20"/>
          <w:szCs w:val="20"/>
          <w:color w:val="auto"/>
        </w:rPr>
      </w:pPr>
      <w:r>
        <w:rPr>
          <w:rFonts w:ascii="Times New Roman" w:cs="Times New Roman" w:eastAsia="Times New Roman" w:hAnsi="Times New Roman"/>
          <w:sz w:val="13"/>
          <w:szCs w:val="13"/>
          <w:color w:val="auto"/>
        </w:rPr>
        <w:t>The undersigned acknowledges and agrees that the Representatives and the other Underwriters have not provided any recommendation or investment advice nor have the Underwriters solicited any action from the undersigned with respect to the Offering and the undersigned has consulted their own legal, accounting, financial, regulatory and tax advisors to the extent deemed appropriate. The undersigned further acknowledges and agrees that, although the Representatives may be required or choose to provide certain Regulation Best Interest and Form CRS disclosures to you in connection with the Offering, the Representatives and the other Underwriters are not making a recommendation to you to enter into this Lock-Up Agreement, and nothing set forth in such disclosures is intended to suggest that the Representatives or any Underwriter is making such a recommendation.</w:t>
      </w:r>
    </w:p>
    <w:p>
      <w:pPr>
        <w:spacing w:after="0" w:line="129" w:lineRule="exact"/>
        <w:rPr>
          <w:sz w:val="20"/>
          <w:szCs w:val="20"/>
          <w:color w:val="auto"/>
        </w:rPr>
      </w:pPr>
    </w:p>
    <w:p>
      <w:pPr>
        <w:ind w:left="260" w:right="279" w:firstLine="764"/>
        <w:spacing w:after="0" w:line="255" w:lineRule="auto"/>
        <w:rPr>
          <w:sz w:val="20"/>
          <w:szCs w:val="20"/>
          <w:color w:val="auto"/>
        </w:rPr>
      </w:pPr>
      <w:r>
        <w:rPr>
          <w:rFonts w:ascii="Times New Roman" w:cs="Times New Roman" w:eastAsia="Times New Roman" w:hAnsi="Times New Roman"/>
          <w:sz w:val="14"/>
          <w:szCs w:val="14"/>
          <w:color w:val="auto"/>
        </w:rPr>
        <w:t>The undersigned understands that, if (i) the Underwriting Agreement (other than the provisions which survive termination under the terms thereof) shall terminate or be terminated prior to payment for the delivery of the Shares to be sold thereunder, (ii) the Registration Statement is withdrawn by the Company, (iii) the Company notifies the Representatives (or the Representatives notify the Company) in writing that it does not intend to proceed with the Offering, or (iv) the Underwriting Agreement is not executed by [_______], 2026, the undersigned shall be released from all obligations under this Lock-Up Agreement and this Lock-Up Agreement shall be of no further effect.</w:t>
      </w:r>
    </w:p>
    <w:p>
      <w:pPr>
        <w:spacing w:after="0" w:line="143" w:lineRule="exact"/>
        <w:rPr>
          <w:sz w:val="20"/>
          <w:szCs w:val="20"/>
          <w:color w:val="auto"/>
        </w:rPr>
      </w:pPr>
    </w:p>
    <w:p>
      <w:pPr>
        <w:ind w:left="260" w:right="379" w:firstLine="764"/>
        <w:spacing w:after="0" w:line="278" w:lineRule="auto"/>
        <w:rPr>
          <w:sz w:val="20"/>
          <w:szCs w:val="20"/>
          <w:color w:val="auto"/>
        </w:rPr>
      </w:pPr>
      <w:r>
        <w:rPr>
          <w:rFonts w:ascii="Times New Roman" w:cs="Times New Roman" w:eastAsia="Times New Roman" w:hAnsi="Times New Roman"/>
          <w:sz w:val="14"/>
          <w:szCs w:val="14"/>
          <w:color w:val="auto"/>
        </w:rPr>
        <w:t>This Lock-Up Agreement and any claim, controversy or dispute arising under or related to this Lock-Up Agreement shall be governed by and construed in accordance with the laws of the State of New York.</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Remainder of Page Intentionally Left Blank</w:t>
      </w:r>
      <w:r>
        <w:rPr>
          <w:rFonts w:ascii="Times New Roman" w:cs="Times New Roman" w:eastAsia="Times New Roman" w:hAnsi="Times New Roman"/>
          <w:sz w:val="14"/>
          <w:szCs w:val="14"/>
          <w:color w:val="auto"/>
        </w:rPr>
        <w: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39" w:right="1440" w:bottom="1440" w:gutter="0" w:footer="0" w:header="0"/>
        </w:sectPr>
      </w:pPr>
    </w:p>
    <w:bookmarkStart w:id="146" w:name="page147"/>
    <w:bookmarkEnd w:id="146"/>
    <w:p>
      <w:pPr>
        <w:ind w:left="260" w:right="579" w:firstLine="764"/>
        <w:spacing w:after="0" w:line="26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7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The undersigned understands that the Company and the Underwriters are relying upon this Lock-Up Agreement in proceeding toward consummation of the Offering. The undersigned further understands that this Lock-Up Agreement is irrevocable and shall be binding upon the undersigned’s heirs, legal representatives, successors, and assigns.</w:t>
      </w:r>
    </w:p>
    <w:p>
      <w:pPr>
        <w:spacing w:after="0" w:line="15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400"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Exact Name of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3404870</wp:posOffset>
            </wp:positionH>
            <wp:positionV relativeFrom="paragraph">
              <wp:posOffset>-99060</wp:posOffset>
            </wp:positionV>
            <wp:extent cx="2152650" cy="63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75">
                      <a:extLst>
                        <a:ext uri="{28A0092B-C50C-407E-A947-70E740481C1C}"/>
                      </a:extLst>
                    </a:blip>
                    <a:srcRect/>
                    <a:stretch>
                      <a:fillRect/>
                    </a:stretch>
                  </pic:blipFill>
                  <pic:spPr bwMode="auto">
                    <a:xfrm>
                      <a:off x="0" y="0"/>
                      <a:ext cx="2152650" cy="6350"/>
                    </a:xfrm>
                    <a:prstGeom prst="rect">
                      <a:avLst/>
                    </a:prstGeom>
                    <a:noFill/>
                  </pic:spPr>
                </pic:pic>
              </a:graphicData>
            </a:graphic>
          </wp:anchor>
        </w:drawing>
      </w:r>
    </w:p>
    <w:p>
      <w:pPr>
        <w:spacing w:after="0" w:line="380"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3404870</wp:posOffset>
            </wp:positionH>
            <wp:positionV relativeFrom="paragraph">
              <wp:posOffset>-99060</wp:posOffset>
            </wp:positionV>
            <wp:extent cx="2152650" cy="63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76">
                      <a:extLst>
                        <a:ext uri="{28A0092B-C50C-407E-A947-70E740481C1C}"/>
                      </a:extLst>
                    </a:blip>
                    <a:srcRect/>
                    <a:stretch>
                      <a:fillRect/>
                    </a:stretch>
                  </pic:blipFill>
                  <pic:spPr bwMode="auto">
                    <a:xfrm>
                      <a:off x="0" y="0"/>
                      <a:ext cx="2152650" cy="6350"/>
                    </a:xfrm>
                    <a:prstGeom prst="rect">
                      <a:avLst/>
                    </a:prstGeom>
                    <a:noFill/>
                  </pic:spPr>
                </pic:pic>
              </a:graphicData>
            </a:graphic>
          </wp:anchor>
        </w:drawing>
      </w:r>
    </w:p>
    <w:p>
      <w:pPr>
        <w:spacing w:after="0" w:line="380"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3404870</wp:posOffset>
            </wp:positionH>
            <wp:positionV relativeFrom="paragraph">
              <wp:posOffset>-99060</wp:posOffset>
            </wp:positionV>
            <wp:extent cx="2152650" cy="63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77">
                      <a:extLst>
                        <a:ext uri="{28A0092B-C50C-407E-A947-70E740481C1C}"/>
                      </a:extLst>
                    </a:blip>
                    <a:srcRect/>
                    <a:stretch>
                      <a:fillRect/>
                    </a:stretch>
                  </pic:blipFill>
                  <pic:spPr bwMode="auto">
                    <a:xfrm>
                      <a:off x="0" y="0"/>
                      <a:ext cx="2152650" cy="6350"/>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147" w:name="page148"/>
    <w:bookmarkEnd w:id="147"/>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 xml:space="preserve">Simpson Thacher &amp; Bartlett </w:t>
      </w:r>
      <w:r>
        <w:rPr>
          <w:rFonts w:ascii="Times New Roman" w:cs="Times New Roman" w:eastAsia="Times New Roman" w:hAnsi="Times New Roman"/>
          <w:sz w:val="16"/>
          <w:szCs w:val="16"/>
          <w:b w:val="1"/>
          <w:bCs w:val="1"/>
          <w:color w:val="auto"/>
        </w:rPr>
        <w:t>LLP</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900 G S</w:t>
      </w:r>
      <w:r>
        <w:rPr>
          <w:rFonts w:ascii="Times New Roman" w:cs="Times New Roman" w:eastAsia="Times New Roman" w:hAnsi="Times New Roman"/>
          <w:sz w:val="11"/>
          <w:szCs w:val="11"/>
          <w:color w:val="auto"/>
        </w:rPr>
        <w:t>TREET</w:t>
      </w:r>
      <w:r>
        <w:rPr>
          <w:rFonts w:ascii="Times New Roman" w:cs="Times New Roman" w:eastAsia="Times New Roman" w:hAnsi="Times New Roman"/>
          <w:sz w:val="14"/>
          <w:szCs w:val="14"/>
          <w:color w:val="auto"/>
        </w:rPr>
        <w:t>, NW</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w:t>
      </w:r>
      <w:r>
        <w:rPr>
          <w:rFonts w:ascii="Times New Roman" w:cs="Times New Roman" w:eastAsia="Times New Roman" w:hAnsi="Times New Roman"/>
          <w:sz w:val="11"/>
          <w:szCs w:val="11"/>
          <w:color w:val="auto"/>
        </w:rPr>
        <w:t>ASHINGTON</w:t>
      </w:r>
      <w:r>
        <w:rPr>
          <w:rFonts w:ascii="Times New Roman" w:cs="Times New Roman" w:eastAsia="Times New Roman" w:hAnsi="Times New Roman"/>
          <w:sz w:val="14"/>
          <w:szCs w:val="14"/>
          <w:color w:val="auto"/>
        </w:rPr>
        <w:t>, D.C. 20001</w:t>
      </w:r>
    </w:p>
    <w:p>
      <w:pPr>
        <w:spacing w:after="0" w:line="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8"/>
          <w:szCs w:val="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2595880</wp:posOffset>
            </wp:positionH>
            <wp:positionV relativeFrom="paragraph">
              <wp:posOffset>-3810</wp:posOffset>
            </wp:positionV>
            <wp:extent cx="528320" cy="63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78">
                      <a:extLst>
                        <a:ext uri="{28A0092B-C50C-407E-A947-70E740481C1C}"/>
                      </a:extLst>
                    </a:blip>
                    <a:srcRect/>
                    <a:stretch>
                      <a:fillRect/>
                    </a:stretch>
                  </pic:blipFill>
                  <pic:spPr bwMode="auto">
                    <a:xfrm>
                      <a:off x="0" y="0"/>
                      <a:ext cx="528320" cy="6350"/>
                    </a:xfrm>
                    <a:prstGeom prst="rect">
                      <a:avLst/>
                    </a:prstGeom>
                    <a:noFill/>
                  </pic:spPr>
                </pic:pic>
              </a:graphicData>
            </a:graphic>
          </wp:anchor>
        </w:drawing>
      </w:r>
    </w:p>
    <w:p>
      <w:pPr>
        <w:spacing w:after="0" w:line="5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2"/>
          <w:szCs w:val="12"/>
          <w:color w:val="auto"/>
        </w:rPr>
        <w:t>TELEPHONE</w:t>
      </w:r>
      <w:r>
        <w:rPr>
          <w:rFonts w:ascii="Times New Roman" w:cs="Times New Roman" w:eastAsia="Times New Roman" w:hAnsi="Times New Roman"/>
          <w:sz w:val="13"/>
          <w:szCs w:val="13"/>
          <w:color w:val="auto"/>
        </w:rPr>
        <w:t>: +1-202-636-5500</w:t>
      </w:r>
    </w:p>
    <w:p>
      <w:pPr>
        <w:spacing w:after="0" w:line="3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2"/>
          <w:szCs w:val="12"/>
          <w:color w:val="auto"/>
        </w:rPr>
        <w:t>FACSIMILE</w:t>
      </w:r>
      <w:r>
        <w:rPr>
          <w:rFonts w:ascii="Times New Roman" w:cs="Times New Roman" w:eastAsia="Times New Roman" w:hAnsi="Times New Roman"/>
          <w:sz w:val="13"/>
          <w:szCs w:val="13"/>
          <w:color w:val="auto"/>
        </w:rPr>
        <w:t>: +1-202-636-5502</w:t>
      </w:r>
    </w:p>
    <w:p>
      <w:pPr>
        <w:spacing w:after="0" w:line="168" w:lineRule="exact"/>
        <w:rPr>
          <w:sz w:val="20"/>
          <w:szCs w:val="20"/>
          <w:color w:val="auto"/>
        </w:rPr>
      </w:pPr>
    </w:p>
    <w:p>
      <w:pPr>
        <w:jc w:val="right"/>
        <w:ind w:right="279"/>
        <w:spacing w:after="0"/>
        <w:rPr>
          <w:sz w:val="20"/>
          <w:szCs w:val="20"/>
          <w:color w:val="auto"/>
        </w:rPr>
      </w:pPr>
      <w:r>
        <w:rPr>
          <w:rFonts w:ascii="Times New Roman" w:cs="Times New Roman" w:eastAsia="Times New Roman" w:hAnsi="Times New Roman"/>
          <w:sz w:val="14"/>
          <w:szCs w:val="14"/>
          <w:color w:val="auto"/>
        </w:rPr>
        <w:t>May 20, 2026</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Medline Inc.</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3 Lakes Drive</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Northfield, Illinois 60093</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To the Addressee Stated Above:</w:t>
      </w:r>
    </w:p>
    <w:p>
      <w:pPr>
        <w:spacing w:after="0" w:line="89" w:lineRule="exact"/>
        <w:rPr>
          <w:sz w:val="20"/>
          <w:szCs w:val="20"/>
          <w:color w:val="auto"/>
        </w:rPr>
      </w:pPr>
    </w:p>
    <w:p>
      <w:pPr>
        <w:ind w:left="260" w:right="319" w:firstLine="339"/>
        <w:spacing w:after="0" w:line="251" w:lineRule="auto"/>
        <w:rPr>
          <w:sz w:val="20"/>
          <w:szCs w:val="20"/>
          <w:color w:val="auto"/>
        </w:rPr>
      </w:pPr>
      <w:r>
        <w:rPr>
          <w:rFonts w:ascii="Times New Roman" w:cs="Times New Roman" w:eastAsia="Times New Roman" w:hAnsi="Times New Roman"/>
          <w:sz w:val="14"/>
          <w:szCs w:val="14"/>
          <w:color w:val="auto"/>
        </w:rPr>
        <w:t>We have acted as counsel to Medline Inc., a Delaware corporation (the “Company”), in connection with the Registration Statement on Form S-1 (the “Registration Statement”) filed by the Company with the Securities and Exchange Commission (the “Commission”) under the Securities Act of 1933, as amended (the “Act”), relating to the sale by certain selling stockholders identified in the Registration Statement (the “Selling Stockholders”) of an aggregate of 69,000,000 shares of Class A common stock, par value $0.0001 per share (the “Class A Common Stock”), including (i) 41,811,600 shares of Class A Common Stock held as of the date hereof by the Selling Stockholders (together with any additional shares of such stock that may be sold by the Selling Stockholders pursuant to Rule 462(b) (as prescribed by the Commission pursuant to the Act) in connection with the offering described in the Registration Statement, the “Shares”), and (ii) 27,188,400 shares of Class A Common Stock issuable upon exchange of common units (“Common Units”) of Medline Holdings, LP, a Delaware limited partnership (“Medline Holdings”) (together with any additional shares of such stock that may be issued by the Company upon exchange of Common Units and sold by the Selling Stockholders pursuant to Rule 462(b) (as prescribed by the Commission pursuant to the Act) in connection with the offering described in the Registration Statement, the “Exchange Shares”).</w:t>
      </w:r>
    </w:p>
    <w:p>
      <w:pPr>
        <w:spacing w:after="0" w:line="387" w:lineRule="exact"/>
        <w:rPr>
          <w:sz w:val="20"/>
          <w:szCs w:val="20"/>
          <w:color w:val="auto"/>
        </w:rPr>
      </w:pPr>
    </w:p>
    <w:p>
      <w:pPr>
        <w:jc w:val="center"/>
        <w:spacing w:after="0"/>
        <w:tabs>
          <w:tab w:leader="none" w:pos="80" w:val="left"/>
          <w:tab w:leader="none" w:pos="80" w:val="left"/>
          <w:tab w:leader="none" w:pos="60" w:val="left"/>
          <w:tab w:leader="none" w:pos="60" w:val="left"/>
          <w:tab w:leader="none" w:pos="80" w:val="left"/>
          <w:tab w:leader="none" w:pos="80" w:val="left"/>
          <w:tab w:leader="none" w:pos="60" w:val="left"/>
          <w:tab w:leader="none" w:pos="80" w:val="left"/>
          <w:tab w:leader="none" w:pos="80" w:val="left"/>
          <w:tab w:leader="none" w:pos="80" w:val="left"/>
          <w:tab w:leader="none" w:pos="80" w:val="left"/>
          <w:tab w:leader="none" w:pos="80" w:val="left"/>
        </w:tabs>
        <w:rPr>
          <w:sz w:val="20"/>
          <w:szCs w:val="20"/>
          <w:color w:val="auto"/>
        </w:rPr>
      </w:pPr>
      <w:r>
        <w:rPr>
          <w:rFonts w:ascii="Times New Roman" w:cs="Times New Roman" w:eastAsia="Times New Roman" w:hAnsi="Times New Roman"/>
          <w:sz w:val="10"/>
          <w:szCs w:val="10"/>
          <w:color w:val="auto"/>
        </w:rPr>
        <w:t>NEW YORK </w:t>
        <w:tab/>
        <w:t>BEIJING </w:t>
        <w:tab/>
        <w:t>BOSTON </w:t>
        <w:tab/>
        <w:t>BRUSSELS </w:t>
        <w:tab/>
        <w:t>HONG KONG </w:t>
        <w:tab/>
        <w:t>HOUSTON </w:t>
        <w:tab/>
        <w:t>LONDON </w:t>
        <w:tab/>
        <w:t>LOS ANGELES </w:t>
        <w:tab/>
        <w:t>LUXEMBOURG </w:t>
        <w:tab/>
        <w:t>PALO ALTO </w:t>
        <w:tab/>
        <w:t>SAN FRANCISCO </w:t>
        <w:tab/>
        <w:t>SÃO PAULO </w:t>
      </w:r>
      <w:r>
        <w:rPr>
          <w:sz w:val="20"/>
          <w:szCs w:val="20"/>
          <w:color w:val="auto"/>
        </w:rPr>
        <w:tab/>
      </w:r>
      <w:r>
        <w:rPr>
          <w:rFonts w:ascii="Times New Roman" w:cs="Times New Roman" w:eastAsia="Times New Roman" w:hAnsi="Times New Roman"/>
          <w:sz w:val="8"/>
          <w:szCs w:val="8"/>
          <w:color w:val="auto"/>
        </w:rPr>
        <w:t>TOKYO</w:t>
      </w:r>
    </w:p>
    <w:p>
      <w:pPr>
        <w:sectPr>
          <w:pgSz w:w="11900" w:h="16838" w:orient="portrait"/>
          <w:cols w:equalWidth="0" w:num="1">
            <w:col w:w="9019"/>
          </w:cols>
          <w:pgMar w:left="1440" w:top="123" w:right="1440" w:bottom="1440" w:gutter="0" w:footer="0" w:header="0"/>
        </w:sectPr>
      </w:pPr>
    </w:p>
    <w:bookmarkStart w:id="148" w:name="page149"/>
    <w:bookmarkEnd w:id="148"/>
    <w:tbl>
      <w:tblPr>
        <w:tblLayout w:type="fixed"/>
        <w:tblInd w:w="260" w:type="dxa"/>
        <w:tblCellMar>
          <w:top w:w="0" w:type="dxa"/>
          <w:left w:w="0" w:type="dxa"/>
          <w:bottom w:w="0" w:type="dxa"/>
          <w:right w:w="0" w:type="dxa"/>
        </w:tblCellMar>
      </w:tblPr>
      <w:tr>
        <w:trPr>
          <w:trHeight w:val="181"/>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Medline Inc.</w:t>
            </w:r>
          </w:p>
        </w:tc>
        <w:tc>
          <w:tcPr>
            <w:tcW w:w="3580" w:type="dxa"/>
            <w:vAlign w:val="bottom"/>
          </w:tcPr>
          <w:p>
            <w:pPr>
              <w:jc w:val="right"/>
              <w:ind w:right="1651"/>
              <w:spacing w:after="0"/>
              <w:rPr>
                <w:sz w:val="20"/>
                <w:szCs w:val="20"/>
                <w:color w:val="auto"/>
              </w:rPr>
            </w:pPr>
            <w:r>
              <w:rPr>
                <w:rFonts w:ascii="Times New Roman" w:cs="Times New Roman" w:eastAsia="Times New Roman" w:hAnsi="Times New Roman"/>
                <w:sz w:val="14"/>
                <w:szCs w:val="14"/>
                <w:color w:val="auto"/>
              </w:rPr>
              <w:t>-2-</w:t>
            </w:r>
          </w:p>
        </w:tc>
        <w:tc>
          <w:tcPr>
            <w:tcW w:w="2480" w:type="dxa"/>
            <w:vAlign w:val="bottom"/>
          </w:tcPr>
          <w:p>
            <w:pPr>
              <w:ind w:left="1720"/>
              <w:spacing w:after="0"/>
              <w:rPr>
                <w:sz w:val="20"/>
                <w:szCs w:val="20"/>
                <w:color w:val="auto"/>
              </w:rPr>
            </w:pPr>
            <w:r>
              <w:rPr>
                <w:rFonts w:ascii="Times New Roman" w:cs="Times New Roman" w:eastAsia="Times New Roman" w:hAnsi="Times New Roman"/>
                <w:sz w:val="14"/>
                <w:szCs w:val="14"/>
                <w:color w:val="auto"/>
                <w:w w:val="94"/>
              </w:rPr>
              <w:t>May 20, 2026</w:t>
            </w:r>
          </w:p>
        </w:tc>
      </w:tr>
    </w:tbl>
    <w:p>
      <w:pPr>
        <w:spacing w:after="0" w:line="1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79">
                      <a:extLst>
                        <a:ext uri="{28A0092B-C50C-407E-A947-70E740481C1C}"/>
                      </a:extLst>
                    </a:blip>
                    <a:srcRect/>
                    <a:stretch>
                      <a:fillRect/>
                    </a:stretch>
                  </pic:blipFill>
                  <pic:spPr bwMode="auto">
                    <a:xfrm>
                      <a:off x="0" y="0"/>
                      <a:ext cx="7202170" cy="32385"/>
                    </a:xfrm>
                    <a:prstGeom prst="rect">
                      <a:avLst/>
                    </a:prstGeom>
                    <a:noFill/>
                  </pic:spPr>
                </pic:pic>
              </a:graphicData>
            </a:graphic>
          </wp:anchor>
        </w:drawing>
      </w:r>
    </w:p>
    <w:p>
      <w:pPr>
        <w:ind w:left="260" w:right="339" w:firstLine="339"/>
        <w:spacing w:after="0" w:line="254" w:lineRule="auto"/>
        <w:rPr>
          <w:sz w:val="20"/>
          <w:szCs w:val="20"/>
          <w:color w:val="auto"/>
        </w:rPr>
      </w:pPr>
      <w:r>
        <w:rPr>
          <w:rFonts w:ascii="Times New Roman" w:cs="Times New Roman" w:eastAsia="Times New Roman" w:hAnsi="Times New Roman"/>
          <w:sz w:val="14"/>
          <w:szCs w:val="14"/>
          <w:color w:val="auto"/>
        </w:rPr>
        <w:t>We have examined the Registration Statement, the Amended and Restated Certificate of Incorporation of the Company, and the Second Amended and Restated Limited Partnership Agreement of Medline Holdings, each of which has been filed with the Commission as an exhibit to the Registration Statement. In addition, we have examined, and have relied as to matters of fact upon, originals, or duplicates or certified or conformed copies, of such records, agreements, documents and other instruments and such certificates or comparable documents of public officials and of officers and representatives of the Company and have made such other investigations as we have deemed relevant and necessary in connection with the opinions hereinafter set forth.</w:t>
      </w:r>
    </w:p>
    <w:p>
      <w:pPr>
        <w:spacing w:after="0" w:line="142" w:lineRule="exact"/>
        <w:rPr>
          <w:sz w:val="20"/>
          <w:szCs w:val="20"/>
          <w:color w:val="auto"/>
        </w:rPr>
      </w:pPr>
    </w:p>
    <w:p>
      <w:pPr>
        <w:jc w:val="both"/>
        <w:ind w:left="260" w:right="339" w:firstLine="339"/>
        <w:spacing w:after="0" w:line="263" w:lineRule="auto"/>
        <w:rPr>
          <w:sz w:val="20"/>
          <w:szCs w:val="20"/>
          <w:color w:val="auto"/>
        </w:rPr>
      </w:pPr>
      <w:r>
        <w:rPr>
          <w:rFonts w:ascii="Times New Roman" w:cs="Times New Roman" w:eastAsia="Times New Roman" w:hAnsi="Times New Roman"/>
          <w:sz w:val="14"/>
          <w:szCs w:val="14"/>
          <w:color w:val="auto"/>
        </w:rPr>
        <w:t>In rendering the opinions set forth below, we have assumed the genuineness of all signatures, including electronic signatures, the legal capacity of natural persons, the authenticity of all documents submitted to us as originals, the conformity to original documents of all documents submitted to us as duplicates or certified or conformed copies and the authenticity of the originals of such latter documents.</w:t>
      </w:r>
    </w:p>
    <w:p>
      <w:pPr>
        <w:spacing w:after="0" w:line="136" w:lineRule="exact"/>
        <w:rPr>
          <w:sz w:val="20"/>
          <w:szCs w:val="20"/>
          <w:color w:val="auto"/>
        </w:rPr>
      </w:pPr>
    </w:p>
    <w:p>
      <w:pPr>
        <w:jc w:val="both"/>
        <w:ind w:left="260" w:right="439" w:firstLine="339"/>
        <w:spacing w:after="0" w:line="263" w:lineRule="auto"/>
        <w:rPr>
          <w:sz w:val="20"/>
          <w:szCs w:val="20"/>
          <w:color w:val="auto"/>
        </w:rPr>
      </w:pPr>
      <w:r>
        <w:rPr>
          <w:rFonts w:ascii="Times New Roman" w:cs="Times New Roman" w:eastAsia="Times New Roman" w:hAnsi="Times New Roman"/>
          <w:sz w:val="14"/>
          <w:szCs w:val="14"/>
          <w:color w:val="auto"/>
        </w:rPr>
        <w:t>Based upon the foregoing, and subject to the qualifications, assumptions and limitations stated herein, we are of the opinion that, (1) the Shares are validly issued, fully paid and nonassessable and (2) when the Exchange Shares are issued in exchange for Common Units in accordance with their terms, the Exchange Shares will be validly issued, fully paid and nonassessable.</w:t>
      </w:r>
    </w:p>
    <w:p>
      <w:pPr>
        <w:spacing w:after="0" w:line="13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We do not express any opinion herein concerning any law other than the Delaware General Corporation Law.</w:t>
      </w:r>
    </w:p>
    <w:p>
      <w:pPr>
        <w:spacing w:after="0" w:line="172" w:lineRule="exact"/>
        <w:rPr>
          <w:sz w:val="20"/>
          <w:szCs w:val="20"/>
          <w:color w:val="auto"/>
        </w:rPr>
      </w:pPr>
    </w:p>
    <w:p>
      <w:pPr>
        <w:ind w:left="260" w:right="579" w:firstLine="339"/>
        <w:spacing w:after="0" w:line="278" w:lineRule="auto"/>
        <w:rPr>
          <w:sz w:val="20"/>
          <w:szCs w:val="20"/>
          <w:color w:val="auto"/>
        </w:rPr>
      </w:pPr>
      <w:r>
        <w:rPr>
          <w:rFonts w:ascii="Times New Roman" w:cs="Times New Roman" w:eastAsia="Times New Roman" w:hAnsi="Times New Roman"/>
          <w:sz w:val="14"/>
          <w:szCs w:val="14"/>
          <w:color w:val="auto"/>
        </w:rPr>
        <w:t>We hereby consent to the filing of this opinion letter as Exhibit 5.1 to the Registration Statement and to the use of our name under the caption “Legal Matters” in the prospectus included in the Registration Statement.</w:t>
      </w:r>
    </w:p>
    <w:p>
      <w:pPr>
        <w:spacing w:after="0" w:line="14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7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/s/ Simpson Thacher &amp; Bartlett LLP</w:t>
      </w:r>
    </w:p>
    <w:p>
      <w:pPr>
        <w:spacing w:after="0" w:line="17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SIMPSON THACHER &amp; BARTLETT LLP</w:t>
      </w:r>
    </w:p>
    <w:p>
      <w:pPr>
        <w:sectPr>
          <w:pgSz w:w="11900" w:h="16838" w:orient="portrait"/>
          <w:cols w:equalWidth="0" w:num="1">
            <w:col w:w="9019"/>
          </w:cols>
          <w:pgMar w:left="1440" w:top="239" w:right="1440" w:bottom="1440" w:gutter="0" w:footer="0" w:header="0"/>
        </w:sectPr>
      </w:pPr>
    </w:p>
    <w:bookmarkStart w:id="149" w:name="page150"/>
    <w:bookmarkEnd w:id="149"/>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74" w:lineRule="exact"/>
        <w:rPr>
          <w:sz w:val="20"/>
          <w:szCs w:val="20"/>
          <w:color w:val="auto"/>
        </w:rPr>
      </w:pPr>
    </w:p>
    <w:p>
      <w:pPr>
        <w:ind w:left="260" w:right="279"/>
        <w:spacing w:after="0" w:line="258" w:lineRule="auto"/>
        <w:rPr>
          <w:sz w:val="20"/>
          <w:szCs w:val="20"/>
          <w:color w:val="auto"/>
        </w:rPr>
      </w:pPr>
      <w:r>
        <w:rPr>
          <w:rFonts w:ascii="Times New Roman" w:cs="Times New Roman" w:eastAsia="Times New Roman" w:hAnsi="Times New Roman"/>
          <w:sz w:val="14"/>
          <w:szCs w:val="14"/>
          <w:color w:val="auto"/>
        </w:rPr>
        <w:t>We consent to the reference to our firm under the caption “Experts” in the Registration Statement (Form S-1) and related Prospectus of Medline Inc. for the registration of shares of its Class A common stock and to the incorporation by reference therein of our report dated February 25, 2026, with respect to the consolidated financial statements of Medline Inc. included in its Annual Report (Form 10-K) for the year ended December 31, 2025, filed with the Securities and Exchange Commission.</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Chicago, Illinois</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May 19, 2026</w:t>
      </w:r>
    </w:p>
    <w:p>
      <w:pPr>
        <w:sectPr>
          <w:pgSz w:w="11900" w:h="16838" w:orient="portrait"/>
          <w:cols w:equalWidth="0" w:num="1">
            <w:col w:w="9019"/>
          </w:cols>
          <w:pgMar w:left="1440" w:top="123" w:right="1440" w:bottom="1440" w:gutter="0" w:footer="0" w:header="0"/>
        </w:sectPr>
      </w:pPr>
    </w:p>
    <w:bookmarkStart w:id="150" w:name="page151"/>
    <w:bookmarkEnd w:id="150"/>
    <w:p>
      <w:pPr>
        <w:ind w:left="3520"/>
        <w:spacing w:after="0"/>
        <w:rPr>
          <w:sz w:val="20"/>
          <w:szCs w:val="20"/>
          <w:color w:val="auto"/>
        </w:rPr>
      </w:pPr>
      <w:r>
        <w:rPr>
          <w:rFonts w:ascii="Arial" w:cs="Arial" w:eastAsia="Arial" w:hAnsi="Arial"/>
          <w:sz w:val="28"/>
          <w:szCs w:val="28"/>
          <w:b w:val="1"/>
          <w:bCs w:val="1"/>
          <w:color w:val="auto"/>
        </w:rPr>
        <w:t>Calculation of Filing Fee Tables</w:t>
      </w:r>
    </w:p>
    <w:p>
      <w:pPr>
        <w:spacing w:after="0" w:line="167"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S-1</w:t>
      </w:r>
    </w:p>
    <w:p>
      <w:pPr>
        <w:spacing w:after="0" w:line="94"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Medline Inc.</w:t>
      </w:r>
    </w:p>
    <w:p>
      <w:pPr>
        <w:spacing w:after="0" w:line="96" w:lineRule="exact"/>
        <w:rPr>
          <w:sz w:val="20"/>
          <w:szCs w:val="20"/>
          <w:color w:val="auto"/>
        </w:rPr>
      </w:pPr>
    </w:p>
    <w:tbl>
      <w:tblPr>
        <w:tblLayout w:type="fixed"/>
        <w:tblInd w:w="10" w:type="dxa"/>
        <w:tblCellMar>
          <w:top w:w="0" w:type="dxa"/>
          <w:left w:w="0" w:type="dxa"/>
          <w:bottom w:w="0" w:type="dxa"/>
          <w:right w:w="0" w:type="dxa"/>
        </w:tblCellMar>
      </w:tblPr>
      <w:tr>
        <w:trPr>
          <w:trHeight w:val="272"/>
        </w:trPr>
        <w:tc>
          <w:tcPr>
            <w:tcW w:w="40" w:type="dxa"/>
            <w:vAlign w:val="bottom"/>
            <w:tcBorders>
              <w:bottom w:val="single" w:sz="8" w:color="auto"/>
            </w:tcBorders>
          </w:tcPr>
          <w:p>
            <w:pPr>
              <w:spacing w:after="0"/>
              <w:rPr>
                <w:sz w:val="23"/>
                <w:szCs w:val="23"/>
                <w:color w:val="auto"/>
              </w:rPr>
            </w:pPr>
          </w:p>
        </w:tc>
        <w:tc>
          <w:tcPr>
            <w:tcW w:w="5000" w:type="dxa"/>
            <w:vAlign w:val="bottom"/>
            <w:tcBorders>
              <w:bottom w:val="single" w:sz="8" w:color="auto"/>
            </w:tcBorders>
            <w:gridSpan w:val="13"/>
          </w:tcPr>
          <w:p>
            <w:pPr>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3"/>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Proposed</w:t>
            </w:r>
          </w:p>
        </w:tc>
        <w:tc>
          <w:tcPr>
            <w:tcW w:w="20" w:type="dxa"/>
            <w:vAlign w:val="bottom"/>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Paid in</w:t>
            </w:r>
          </w:p>
        </w:tc>
        <w:tc>
          <w:tcPr>
            <w:tcW w:w="0" w:type="dxa"/>
            <w:vAlign w:val="bottom"/>
          </w:tcPr>
          <w:p>
            <w:pPr>
              <w:spacing w:after="0"/>
              <w:rPr>
                <w:sz w:val="1"/>
                <w:szCs w:val="1"/>
                <w:color w:val="auto"/>
              </w:rPr>
            </w:pPr>
          </w:p>
        </w:tc>
      </w:tr>
      <w:tr>
        <w:trPr>
          <w:trHeight w:val="167"/>
        </w:trPr>
        <w:tc>
          <w:tcPr>
            <w:tcW w:w="40" w:type="dxa"/>
            <w:vAlign w:val="bottom"/>
            <w:tcBorders>
              <w:left w:val="single" w:sz="8" w:color="auto"/>
            </w:tcBorders>
          </w:tcPr>
          <w:p>
            <w:pPr>
              <w:spacing w:after="0"/>
              <w:rPr>
                <w:sz w:val="14"/>
                <w:szCs w:val="14"/>
                <w:color w:val="auto"/>
              </w:rPr>
            </w:pPr>
          </w:p>
        </w:tc>
        <w:tc>
          <w:tcPr>
            <w:tcW w:w="7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4"/>
              </w:rPr>
              <w:t>Carry</w:t>
            </w: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right w:val="single" w:sz="8" w:color="auto"/>
            </w:tcBorders>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Connection</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ind w:left="20"/>
              <w:spacing w:after="0" w:line="187" w:lineRule="exact"/>
              <w:rPr>
                <w:sz w:val="20"/>
                <w:szCs w:val="20"/>
                <w:color w:val="auto"/>
              </w:rPr>
            </w:pPr>
            <w:r>
              <w:rPr>
                <w:rFonts w:ascii="Arial" w:cs="Arial" w:eastAsia="Arial" w:hAnsi="Arial"/>
                <w:sz w:val="17"/>
                <w:szCs w:val="17"/>
                <w:b w:val="1"/>
                <w:bCs w:val="1"/>
                <w:color w:val="auto"/>
                <w:w w:val="95"/>
              </w:rPr>
              <w:t>Security</w:t>
            </w:r>
          </w:p>
        </w:tc>
        <w:tc>
          <w:tcPr>
            <w:tcW w:w="20" w:type="dxa"/>
            <w:vAlign w:val="bottom"/>
          </w:tcPr>
          <w:p>
            <w:pPr>
              <w:spacing w:after="0"/>
              <w:rPr>
                <w:sz w:val="16"/>
                <w:szCs w:val="16"/>
                <w:color w:val="auto"/>
              </w:rPr>
            </w:pPr>
          </w:p>
        </w:tc>
        <w:tc>
          <w:tcPr>
            <w:tcW w:w="700" w:type="dxa"/>
            <w:vAlign w:val="bottom"/>
            <w:shd w:val="clear" w:color="auto" w:fill="9ADAF6"/>
          </w:tcPr>
          <w:p>
            <w:pPr>
              <w:ind w:left="20"/>
              <w:spacing w:after="0" w:line="187"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Calculation</w:t>
            </w:r>
          </w:p>
        </w:tc>
        <w:tc>
          <w:tcPr>
            <w:tcW w:w="20" w:type="dxa"/>
            <w:vAlign w:val="bottom"/>
          </w:tcPr>
          <w:p>
            <w:pPr>
              <w:spacing w:after="0"/>
              <w:rPr>
                <w:sz w:val="16"/>
                <w:szCs w:val="16"/>
                <w:color w:val="auto"/>
              </w:rPr>
            </w:pPr>
          </w:p>
        </w:tc>
        <w:tc>
          <w:tcPr>
            <w:tcW w:w="880" w:type="dxa"/>
            <w:vAlign w:val="bottom"/>
            <w:shd w:val="clear" w:color="auto" w:fill="9ADAF6"/>
          </w:tcPr>
          <w:p>
            <w:pPr>
              <w:jc w:val="right"/>
              <w:ind w:right="37"/>
              <w:spacing w:after="0" w:line="187"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Maximum</w:t>
            </w:r>
          </w:p>
        </w:tc>
        <w:tc>
          <w:tcPr>
            <w:tcW w:w="20" w:type="dxa"/>
            <w:vAlign w:val="bottom"/>
          </w:tcPr>
          <w:p>
            <w:pPr>
              <w:spacing w:after="0"/>
              <w:rPr>
                <w:sz w:val="16"/>
                <w:szCs w:val="16"/>
                <w:color w:val="auto"/>
              </w:rPr>
            </w:pPr>
          </w:p>
        </w:tc>
        <w:tc>
          <w:tcPr>
            <w:tcW w:w="13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Maximum</w:t>
            </w: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Amount of</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Forward</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Forward</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ind w:left="160"/>
              <w:spacing w:after="0" w:line="187"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700" w:type="dxa"/>
            <w:vAlign w:val="bottom"/>
            <w:shd w:val="clear" w:color="auto" w:fill="9ADAF6"/>
          </w:tcPr>
          <w:p>
            <w:pPr>
              <w:ind w:left="120"/>
              <w:spacing w:after="0" w:line="187" w:lineRule="exact"/>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or Carry</w:t>
            </w:r>
          </w:p>
        </w:tc>
        <w:tc>
          <w:tcPr>
            <w:tcW w:w="20" w:type="dxa"/>
            <w:vAlign w:val="bottom"/>
          </w:tcPr>
          <w:p>
            <w:pPr>
              <w:spacing w:after="0"/>
              <w:rPr>
                <w:sz w:val="16"/>
                <w:szCs w:val="16"/>
                <w:color w:val="auto"/>
              </w:rPr>
            </w:pPr>
          </w:p>
        </w:tc>
        <w:tc>
          <w:tcPr>
            <w:tcW w:w="880" w:type="dxa"/>
            <w:vAlign w:val="bottom"/>
            <w:shd w:val="clear" w:color="auto" w:fill="9ADAF6"/>
          </w:tcPr>
          <w:p>
            <w:pPr>
              <w:jc w:val="right"/>
              <w:spacing w:after="0" w:line="187" w:lineRule="exact"/>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Offering</w:t>
            </w:r>
          </w:p>
        </w:tc>
        <w:tc>
          <w:tcPr>
            <w:tcW w:w="20" w:type="dxa"/>
            <w:vAlign w:val="bottom"/>
          </w:tcPr>
          <w:p>
            <w:pPr>
              <w:spacing w:after="0"/>
              <w:rPr>
                <w:sz w:val="16"/>
                <w:szCs w:val="16"/>
                <w:color w:val="auto"/>
              </w:rPr>
            </w:pPr>
          </w:p>
        </w:tc>
        <w:tc>
          <w:tcPr>
            <w:tcW w:w="13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rPr>
              <w:t>Unsold</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180"/>
              <w:spacing w:after="0" w:line="187"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16"/>
                <w:szCs w:val="16"/>
                <w:color w:val="auto"/>
              </w:rPr>
            </w:pPr>
          </w:p>
        </w:tc>
        <w:tc>
          <w:tcPr>
            <w:tcW w:w="13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Offering Price</w:t>
            </w: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Effective</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Securities</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to be</w:t>
            </w: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Carried</w:t>
            </w: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7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244"/>
        </w:trPr>
        <w:tc>
          <w:tcPr>
            <w:tcW w:w="40" w:type="dxa"/>
            <w:vAlign w:val="bottom"/>
            <w:tcBorders>
              <w:lef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960" w:type="dxa"/>
            <w:vAlign w:val="bottom"/>
            <w:gridSpan w:val="5"/>
          </w:tcPr>
          <w:p>
            <w:pPr>
              <w:jc w:val="center"/>
              <w:spacing w:after="0"/>
              <w:rPr>
                <w:sz w:val="20"/>
                <w:szCs w:val="20"/>
                <w:color w:val="auto"/>
              </w:rPr>
            </w:pPr>
            <w:r>
              <w:rPr>
                <w:rFonts w:ascii="Arial" w:cs="Arial" w:eastAsia="Arial" w:hAnsi="Arial"/>
                <w:sz w:val="17"/>
                <w:szCs w:val="17"/>
                <w:b w:val="1"/>
                <w:bCs w:val="1"/>
                <w:color w:val="auto"/>
                <w:w w:val="97"/>
              </w:rPr>
              <w:t>Newly Registered Securities</w:t>
            </w: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ind w:left="20"/>
              <w:spacing w:after="0" w:line="182" w:lineRule="exact"/>
              <w:rPr>
                <w:sz w:val="20"/>
                <w:szCs w:val="20"/>
                <w:color w:val="auto"/>
              </w:rPr>
            </w:pPr>
            <w:r>
              <w:rPr>
                <w:rFonts w:ascii="Arial" w:cs="Arial" w:eastAsia="Arial" w:hAnsi="Arial"/>
                <w:sz w:val="17"/>
                <w:szCs w:val="17"/>
                <w:color w:val="auto"/>
              </w:rPr>
              <w:t>Class A</w:t>
            </w: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8"/>
                <w:szCs w:val="8"/>
                <w:color w:val="auto"/>
              </w:rPr>
            </w:pPr>
          </w:p>
        </w:tc>
        <w:tc>
          <w:tcPr>
            <w:tcW w:w="68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$0.0001</w:t>
            </w:r>
          </w:p>
        </w:tc>
        <w:tc>
          <w:tcPr>
            <w:tcW w:w="20" w:type="dxa"/>
            <w:vAlign w:val="bottom"/>
          </w:tcPr>
          <w:p>
            <w:pPr>
              <w:spacing w:after="0"/>
              <w:rPr>
                <w:sz w:val="8"/>
                <w:szCs w:val="8"/>
                <w:color w:val="auto"/>
              </w:rPr>
            </w:pPr>
          </w:p>
        </w:tc>
        <w:tc>
          <w:tcPr>
            <w:tcW w:w="9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7"/>
              </w:rPr>
              <w:t>457(a)</w:t>
            </w:r>
          </w:p>
        </w:tc>
        <w:tc>
          <w:tcPr>
            <w:tcW w:w="20" w:type="dxa"/>
            <w:vAlign w:val="bottom"/>
          </w:tcPr>
          <w:p>
            <w:pPr>
              <w:spacing w:after="0"/>
              <w:rPr>
                <w:sz w:val="8"/>
                <w:szCs w:val="8"/>
                <w:color w:val="auto"/>
              </w:rPr>
            </w:pPr>
          </w:p>
        </w:tc>
        <w:tc>
          <w:tcPr>
            <w:tcW w:w="8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69,000,000</w:t>
            </w:r>
          </w:p>
        </w:tc>
        <w:tc>
          <w:tcPr>
            <w:tcW w:w="20" w:type="dxa"/>
            <w:vAlign w:val="bottom"/>
          </w:tcPr>
          <w:p>
            <w:pPr>
              <w:spacing w:after="0"/>
              <w:rPr>
                <w:sz w:val="8"/>
                <w:szCs w:val="8"/>
                <w:color w:val="auto"/>
              </w:rPr>
            </w:pPr>
          </w:p>
        </w:tc>
        <w:tc>
          <w:tcPr>
            <w:tcW w:w="8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$ 38.71</w:t>
            </w:r>
          </w:p>
        </w:tc>
        <w:tc>
          <w:tcPr>
            <w:tcW w:w="20" w:type="dxa"/>
            <w:vAlign w:val="bottom"/>
          </w:tcPr>
          <w:p>
            <w:pPr>
              <w:spacing w:after="0"/>
              <w:rPr>
                <w:sz w:val="8"/>
                <w:szCs w:val="8"/>
                <w:color w:val="auto"/>
              </w:rPr>
            </w:pPr>
          </w:p>
        </w:tc>
        <w:tc>
          <w:tcPr>
            <w:tcW w:w="13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7"/>
              </w:rPr>
              <w:t>0.0001381</w:t>
            </w:r>
          </w:p>
        </w:tc>
        <w:tc>
          <w:tcPr>
            <w:tcW w:w="20" w:type="dxa"/>
            <w:vAlign w:val="bottom"/>
          </w:tcPr>
          <w:p>
            <w:pPr>
              <w:spacing w:after="0"/>
              <w:rPr>
                <w:sz w:val="8"/>
                <w:szCs w:val="8"/>
                <w:color w:val="auto"/>
              </w:rPr>
            </w:pPr>
          </w:p>
        </w:tc>
        <w:tc>
          <w:tcPr>
            <w:tcW w:w="10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8"/>
              </w:rPr>
              <w:t>$ 368,863.72</w:t>
            </w: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40" w:type="dxa"/>
            <w:vAlign w:val="bottom"/>
            <w:tcBorders>
              <w:left w:val="single" w:sz="8" w:color="auto"/>
            </w:tcBorders>
          </w:tcPr>
          <w:p>
            <w:pPr>
              <w:spacing w:after="0"/>
              <w:rPr>
                <w:sz w:val="14"/>
                <w:szCs w:val="14"/>
                <w:color w:val="auto"/>
              </w:rPr>
            </w:pPr>
          </w:p>
        </w:tc>
        <w:tc>
          <w:tcPr>
            <w:tcW w:w="780" w:type="dxa"/>
            <w:vAlign w:val="bottom"/>
            <w:shd w:val="clear" w:color="auto" w:fill="E7E7E2"/>
          </w:tcPr>
          <w:p>
            <w:pPr>
              <w:spacing w:after="0" w:line="167"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4"/>
                <w:szCs w:val="14"/>
                <w:color w:val="auto"/>
              </w:rPr>
            </w:pPr>
          </w:p>
        </w:tc>
        <w:tc>
          <w:tcPr>
            <w:tcW w:w="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shd w:val="clear" w:color="auto" w:fill="E7E7E2"/>
          </w:tcPr>
          <w:p>
            <w:pPr>
              <w:jc w:val="right"/>
              <w:spacing w:after="0" w:line="167" w:lineRule="exact"/>
              <w:rPr>
                <w:sz w:val="20"/>
                <w:szCs w:val="20"/>
                <w:color w:val="auto"/>
              </w:rPr>
            </w:pPr>
            <w:r>
              <w:rPr>
                <w:rFonts w:ascii="Arial" w:cs="Arial" w:eastAsia="Arial" w:hAnsi="Arial"/>
                <w:sz w:val="17"/>
                <w:szCs w:val="17"/>
                <w:color w:val="auto"/>
                <w:w w:val="96"/>
              </w:rPr>
              <w:t>2,670,990,000.00</w:t>
            </w:r>
          </w:p>
        </w:tc>
        <w:tc>
          <w:tcPr>
            <w:tcW w:w="20" w:type="dxa"/>
            <w:vAlign w:val="bottom"/>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40" w:type="dxa"/>
            <w:vAlign w:val="bottom"/>
            <w:tcBorders>
              <w:left w:val="single" w:sz="8" w:color="auto"/>
            </w:tcBorders>
          </w:tcPr>
          <w:p>
            <w:pPr>
              <w:spacing w:after="0"/>
              <w:rPr>
                <w:sz w:val="9"/>
                <w:szCs w:val="9"/>
                <w:color w:val="auto"/>
              </w:rPr>
            </w:pPr>
          </w:p>
        </w:tc>
        <w:tc>
          <w:tcPr>
            <w:tcW w:w="7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shd w:val="clear" w:color="auto" w:fill="E7E7E2"/>
          </w:tcPr>
          <w:p>
            <w:pPr>
              <w:ind w:left="20"/>
              <w:spacing w:after="0" w:line="114" w:lineRule="exact"/>
              <w:rPr>
                <w:sz w:val="20"/>
                <w:szCs w:val="20"/>
                <w:color w:val="auto"/>
              </w:rPr>
            </w:pPr>
            <w:r>
              <w:rPr>
                <w:rFonts w:ascii="Arial" w:cs="Arial" w:eastAsia="Arial" w:hAnsi="Arial"/>
                <w:sz w:val="12"/>
                <w:szCs w:val="12"/>
                <w:color w:val="auto"/>
              </w:rPr>
              <w:t>par</w:t>
            </w:r>
          </w:p>
        </w:tc>
        <w:tc>
          <w:tcPr>
            <w:tcW w:w="20" w:type="dxa"/>
            <w:vAlign w:val="bottom"/>
          </w:tcPr>
          <w:p>
            <w:pPr>
              <w:spacing w:after="0"/>
              <w:rPr>
                <w:sz w:val="9"/>
                <w:szCs w:val="9"/>
                <w:color w:val="auto"/>
              </w:rPr>
            </w:pPr>
          </w:p>
        </w:tc>
        <w:tc>
          <w:tcPr>
            <w:tcW w:w="9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3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tcBorders>
              <w:right w:val="single" w:sz="8" w:color="auto"/>
            </w:tcBorders>
            <w:shd w:val="clear" w:color="auto" w:fill="E7E7E2"/>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value</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ind w:left="20"/>
              <w:spacing w:after="0"/>
              <w:rPr>
                <w:sz w:val="20"/>
                <w:szCs w:val="20"/>
                <w:color w:val="auto"/>
              </w:rPr>
            </w:pPr>
            <w:r>
              <w:rPr>
                <w:rFonts w:ascii="Arial" w:cs="Arial" w:eastAsia="Arial" w:hAnsi="Arial"/>
                <w:sz w:val="17"/>
                <w:szCs w:val="17"/>
                <w:color w:val="auto"/>
              </w:rPr>
              <w:t>per</w:t>
            </w: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76"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7" w:lineRule="exact"/>
              <w:rPr>
                <w:sz w:val="20"/>
                <w:szCs w:val="20"/>
                <w:color w:val="auto"/>
              </w:rPr>
            </w:pPr>
            <w:r>
              <w:rPr>
                <w:rFonts w:ascii="Arial" w:cs="Arial" w:eastAsia="Arial" w:hAnsi="Arial"/>
                <w:sz w:val="17"/>
                <w:szCs w:val="17"/>
                <w:color w:val="auto"/>
                <w:w w:val="96"/>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0" w:type="dxa"/>
            <w:vAlign w:val="bottom"/>
            <w:tcBorders>
              <w:lef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960" w:type="dxa"/>
            <w:vAlign w:val="bottom"/>
            <w:gridSpan w:val="5"/>
          </w:tcPr>
          <w:p>
            <w:pPr>
              <w:jc w:val="center"/>
              <w:spacing w:after="0"/>
              <w:rPr>
                <w:sz w:val="20"/>
                <w:szCs w:val="20"/>
                <w:color w:val="auto"/>
              </w:rPr>
            </w:pPr>
            <w:r>
              <w:rPr>
                <w:rFonts w:ascii="Arial" w:cs="Arial" w:eastAsia="Arial" w:hAnsi="Arial"/>
                <w:sz w:val="17"/>
                <w:szCs w:val="17"/>
                <w:b w:val="1"/>
                <w:bCs w:val="1"/>
                <w:color w:val="auto"/>
                <w:w w:val="97"/>
              </w:rPr>
              <w:t>Carry Forward Securities</w:t>
            </w: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82"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7"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2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$ 368,863.72</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w w:val="98"/>
              </w:rPr>
              <w:t>2,670,990,000.00</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4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2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0" w:type="dxa"/>
            <w:vAlign w:val="bottom"/>
            <w:tcBorders>
              <w:left w:val="single" w:sz="8" w:color="auto"/>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$ 368,863.72</w:t>
            </w: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06" w:lineRule="exact"/>
        <w:rPr>
          <w:sz w:val="20"/>
          <w:szCs w:val="20"/>
          <w:color w:val="auto"/>
        </w:rPr>
      </w:pPr>
    </w:p>
    <w:p>
      <w:pPr>
        <w:ind w:left="220" w:right="140" w:hanging="186"/>
        <w:spacing w:after="0" w:line="226" w:lineRule="auto"/>
        <w:tabs>
          <w:tab w:leader="none" w:pos="220" w:val="left"/>
        </w:tabs>
        <w:numPr>
          <w:ilvl w:val="0"/>
          <w:numId w:val="121"/>
        </w:numPr>
        <w:rPr>
          <w:rFonts w:ascii="Arial" w:cs="Arial" w:eastAsia="Arial" w:hAnsi="Arial"/>
          <w:sz w:val="21"/>
          <w:szCs w:val="21"/>
          <w:color w:val="auto"/>
          <w:vertAlign w:val="superscript"/>
        </w:rPr>
      </w:pPr>
      <w:r>
        <w:rPr>
          <w:rFonts w:ascii="Arial" w:cs="Arial" w:eastAsia="Arial" w:hAnsi="Arial"/>
          <w:sz w:val="17"/>
          <w:szCs w:val="17"/>
          <w:color w:val="auto"/>
        </w:rPr>
        <w:t>(1) Includes 9,000,000 shares of our Class A common stock subject to the underwriters' option to purchase additional shares. (2) Estimated solely for the purpose of determining the amount of the registration fee in accordance with Rule 457(c) under the Securities Act of 1933, as amended. The price per share and aggregate offering price are based on the average of the high and low price of the Registrant's shares of Class A common stock on May 14, 2026, as reported on the Nasdaq Global Select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60325</wp:posOffset>
            </wp:positionV>
            <wp:extent cx="71494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80">
                      <a:extLst>
                        <a:ext uri="{28A0092B-C50C-407E-A947-70E740481C1C}"/>
                      </a:extLst>
                    </a:blip>
                    <a:srcRect/>
                    <a:stretch>
                      <a:fillRect/>
                    </a:stretch>
                  </pic:blipFill>
                  <pic:spPr bwMode="auto">
                    <a:xfrm>
                      <a:off x="0" y="0"/>
                      <a:ext cx="7149465" cy="3873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272"/>
        </w:trPr>
        <w:tc>
          <w:tcPr>
            <w:tcW w:w="40" w:type="dxa"/>
            <w:vAlign w:val="bottom"/>
            <w:tcBorders>
              <w:bottom w:val="single" w:sz="8" w:color="auto"/>
            </w:tcBorders>
          </w:tcPr>
          <w:p>
            <w:pPr>
              <w:spacing w:after="0"/>
              <w:rPr>
                <w:sz w:val="23"/>
                <w:szCs w:val="23"/>
                <w:color w:val="auto"/>
              </w:rPr>
            </w:pPr>
          </w:p>
        </w:tc>
        <w:tc>
          <w:tcPr>
            <w:tcW w:w="334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vMerge w:val="restart"/>
            <w:shd w:val="clear" w:color="auto" w:fill="9ADAF6"/>
          </w:tcPr>
          <w:p>
            <w:pPr>
              <w:jc w:val="center"/>
              <w:ind w:right="17"/>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6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4"/>
              </w:rPr>
              <w:t>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tcBorders>
              <w:left w:val="single" w:sz="8" w:color="9ADAF6"/>
            </w:tcBorders>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Filing</w:t>
            </w:r>
          </w:p>
        </w:tc>
        <w:tc>
          <w:tcPr>
            <w:tcW w:w="80" w:type="dxa"/>
            <w:vAlign w:val="bottom"/>
            <w:tcBorders>
              <w:right w:val="single" w:sz="8" w:color="9ADAF6"/>
            </w:tcBorders>
          </w:tcPr>
          <w:p>
            <w:pPr>
              <w:spacing w:after="0"/>
              <w:rPr>
                <w:sz w:val="8"/>
                <w:szCs w:val="8"/>
                <w:color w:val="auto"/>
              </w:rPr>
            </w:pPr>
          </w:p>
        </w:tc>
        <w:tc>
          <w:tcPr>
            <w:tcW w:w="6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6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tcBorders>
              <w:left w:val="single" w:sz="8" w:color="9ADAF6"/>
            </w:tcBorders>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shd w:val="clear" w:color="auto" w:fill="9ADAF6"/>
          </w:tcPr>
          <w:p>
            <w:pPr>
              <w:spacing w:after="0"/>
              <w:rPr>
                <w:sz w:val="14"/>
                <w:szCs w:val="14"/>
                <w:color w:val="auto"/>
              </w:rPr>
            </w:pPr>
          </w:p>
        </w:tc>
        <w:tc>
          <w:tcPr>
            <w:tcW w:w="560" w:type="dxa"/>
            <w:vAlign w:val="bottom"/>
            <w:gridSpan w:val="2"/>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80" w:type="dxa"/>
            <w:vAlign w:val="bottom"/>
            <w:tcBorders>
              <w:right w:val="single" w:sz="8" w:color="9ADAF6"/>
            </w:tcBorders>
          </w:tcPr>
          <w:p>
            <w:pPr>
              <w:spacing w:after="0"/>
              <w:rPr>
                <w:sz w:val="14"/>
                <w:szCs w:val="14"/>
                <w:color w:val="auto"/>
              </w:rPr>
            </w:pPr>
          </w:p>
        </w:tc>
        <w:tc>
          <w:tcPr>
            <w:tcW w:w="620" w:type="dxa"/>
            <w:vAlign w:val="bottom"/>
            <w:gridSpan w:val="3"/>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00" w:type="dxa"/>
            <w:vAlign w:val="bottom"/>
            <w:shd w:val="clear" w:color="auto" w:fill="9ADAF6"/>
          </w:tcPr>
          <w:p>
            <w:pPr>
              <w:jc w:val="center"/>
              <w:ind w:right="217"/>
              <w:spacing w:after="0" w:line="187" w:lineRule="exact"/>
              <w:rPr>
                <w:sz w:val="20"/>
                <w:szCs w:val="20"/>
                <w:color w:val="auto"/>
              </w:rPr>
            </w:pPr>
            <w:r>
              <w:rPr>
                <w:rFonts w:ascii="Arial" w:cs="Arial" w:eastAsia="Arial" w:hAnsi="Arial"/>
                <w:sz w:val="17"/>
                <w:szCs w:val="17"/>
                <w:b w:val="1"/>
                <w:bCs w:val="1"/>
                <w:color w:val="auto"/>
                <w:w w:val="94"/>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Number</w:t>
            </w: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jc w:val="center"/>
              <w:ind w:right="17"/>
              <w:spacing w:after="0" w:line="187"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Date</w:t>
            </w:r>
          </w:p>
        </w:tc>
        <w:tc>
          <w:tcPr>
            <w:tcW w:w="80" w:type="dxa"/>
            <w:vAlign w:val="bottom"/>
            <w:tcBorders>
              <w:right w:val="single" w:sz="8" w:color="9ADAF6"/>
            </w:tcBorders>
          </w:tcPr>
          <w:p>
            <w:pPr>
              <w:spacing w:after="0"/>
              <w:rPr>
                <w:sz w:val="16"/>
                <w:szCs w:val="16"/>
                <w:color w:val="auto"/>
              </w:rPr>
            </w:pPr>
          </w:p>
        </w:tc>
        <w:tc>
          <w:tcPr>
            <w:tcW w:w="62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0"/>
              </w:rPr>
              <w:t>Claimed</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40" w:type="dxa"/>
            <w:vAlign w:val="bottom"/>
            <w:tcBorders>
              <w:left w:val="single" w:sz="8" w:color="auto"/>
            </w:tcBorders>
          </w:tcPr>
          <w:p>
            <w:pPr>
              <w:spacing w:after="0"/>
              <w:rPr>
                <w:sz w:val="9"/>
                <w:szCs w:val="9"/>
                <w:color w:val="auto"/>
              </w:rPr>
            </w:pPr>
          </w:p>
        </w:tc>
        <w:tc>
          <w:tcPr>
            <w:tcW w:w="4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left w:val="single" w:sz="8" w:color="9ADAF6"/>
            </w:tcBorders>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13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Type</w:t>
            </w:r>
          </w:p>
        </w:tc>
        <w:tc>
          <w:tcPr>
            <w:tcW w:w="20" w:type="dxa"/>
            <w:vAlign w:val="bottom"/>
          </w:tcPr>
          <w:p>
            <w:pPr>
              <w:spacing w:after="0"/>
              <w:rPr>
                <w:sz w:val="9"/>
                <w:szCs w:val="9"/>
                <w:color w:val="auto"/>
              </w:rPr>
            </w:pPr>
          </w:p>
        </w:tc>
        <w:tc>
          <w:tcPr>
            <w:tcW w:w="7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spacing w:after="0"/>
              <w:rPr>
                <w:sz w:val="9"/>
                <w:szCs w:val="9"/>
                <w:color w:val="auto"/>
              </w:rPr>
            </w:pPr>
          </w:p>
        </w:tc>
        <w:tc>
          <w:tcPr>
            <w:tcW w:w="80" w:type="dxa"/>
            <w:vAlign w:val="bottom"/>
            <w:tcBorders>
              <w:right w:val="single" w:sz="8" w:color="9ADAF6"/>
            </w:tcBorders>
          </w:tcPr>
          <w:p>
            <w:pPr>
              <w:spacing w:after="0"/>
              <w:rPr>
                <w:sz w:val="9"/>
                <w:szCs w:val="9"/>
                <w:color w:val="auto"/>
              </w:rPr>
            </w:pPr>
          </w:p>
        </w:tc>
        <w:tc>
          <w:tcPr>
            <w:tcW w:w="32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2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20" w:type="dxa"/>
            <w:vAlign w:val="bottom"/>
            <w:gridSpan w:val="3"/>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20" w:type="dxa"/>
            <w:vAlign w:val="bottom"/>
            <w:gridSpan w:val="3"/>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60" w:type="dxa"/>
            <w:vAlign w:val="bottom"/>
            <w:gridSpan w:val="3"/>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with Fee</w:t>
            </w:r>
          </w:p>
        </w:tc>
        <w:tc>
          <w:tcPr>
            <w:tcW w:w="20" w:type="dxa"/>
            <w:vAlign w:val="bottom"/>
          </w:tcPr>
          <w:p>
            <w:pPr>
              <w:spacing w:after="0"/>
              <w:rPr>
                <w:sz w:val="9"/>
                <w:szCs w:val="9"/>
                <w:color w:val="auto"/>
              </w:rPr>
            </w:pPr>
          </w:p>
        </w:tc>
        <w:tc>
          <w:tcPr>
            <w:tcW w:w="66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Offset</w:t>
            </w: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left w:val="single" w:sz="8" w:color="9ADAF6"/>
            </w:tcBorders>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3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80" w:type="dxa"/>
            <w:vAlign w:val="bottom"/>
            <w:tcBorders>
              <w:right w:val="single" w:sz="8" w:color="9ADAF6"/>
            </w:tcBorders>
          </w:tcPr>
          <w:p>
            <w:pPr>
              <w:spacing w:after="0"/>
              <w:rPr>
                <w:sz w:val="19"/>
                <w:szCs w:val="19"/>
                <w:color w:val="auto"/>
              </w:rPr>
            </w:pPr>
          </w:p>
        </w:tc>
        <w:tc>
          <w:tcPr>
            <w:tcW w:w="3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2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40" w:type="dxa"/>
            <w:vAlign w:val="bottom"/>
            <w:gridSpan w:val="11"/>
          </w:tcPr>
          <w:p>
            <w:pPr>
              <w:ind w:left="560"/>
              <w:spacing w:after="0"/>
              <w:rPr>
                <w:sz w:val="20"/>
                <w:szCs w:val="20"/>
                <w:color w:val="auto"/>
              </w:rPr>
            </w:pPr>
            <w:r>
              <w:rPr>
                <w:rFonts w:ascii="Arial" w:cs="Arial" w:eastAsia="Arial" w:hAnsi="Arial"/>
                <w:sz w:val="17"/>
                <w:szCs w:val="17"/>
                <w:b w:val="1"/>
                <w:bCs w:val="1"/>
                <w:color w:val="auto"/>
                <w:w w:val="99"/>
              </w:rPr>
              <w:t>Rules 457(b) and 0-11(a)(2)</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1000" w:type="dxa"/>
            <w:vAlign w:val="bottom"/>
            <w:gridSpan w:val="3"/>
            <w:shd w:val="clear" w:color="auto" w:fill="E7E7E2"/>
          </w:tcPr>
          <w:p>
            <w:pPr>
              <w:spacing w:after="0" w:line="188"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left w:val="single" w:sz="8" w:color="E7E7E2"/>
            </w:tcBorders>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3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80" w:type="dxa"/>
            <w:vAlign w:val="bottom"/>
            <w:tcBorders>
              <w:right w:val="single" w:sz="8" w:color="E7E7E2"/>
            </w:tcBorders>
          </w:tcPr>
          <w:p>
            <w:pPr>
              <w:spacing w:after="0"/>
              <w:rPr>
                <w:sz w:val="16"/>
                <w:szCs w:val="16"/>
                <w:color w:val="auto"/>
              </w:rPr>
            </w:pPr>
          </w:p>
        </w:tc>
        <w:tc>
          <w:tcPr>
            <w:tcW w:w="3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left w:val="single" w:sz="8" w:color="E7E7E2"/>
            </w:tcBorders>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3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80" w:type="dxa"/>
            <w:vAlign w:val="bottom"/>
            <w:tcBorders>
              <w:right w:val="single" w:sz="8" w:color="E7E7E2"/>
            </w:tcBorders>
          </w:tcPr>
          <w:p>
            <w:pPr>
              <w:spacing w:after="0"/>
              <w:rPr>
                <w:sz w:val="19"/>
                <w:szCs w:val="19"/>
                <w:color w:val="auto"/>
              </w:rPr>
            </w:pPr>
          </w:p>
        </w:tc>
        <w:tc>
          <w:tcPr>
            <w:tcW w:w="3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line="176"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260" w:type="dxa"/>
            <w:vAlign w:val="bottom"/>
            <w:tcBorders>
              <w:left w:val="single" w:sz="8" w:color="E7E7E2"/>
            </w:tcBorders>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80" w:type="dxa"/>
            <w:vAlign w:val="bottom"/>
            <w:tcBorders>
              <w:right w:val="single" w:sz="8" w:color="E7E7E2"/>
            </w:tcBorders>
          </w:tcPr>
          <w:p>
            <w:pPr>
              <w:spacing w:after="0"/>
              <w:rPr>
                <w:sz w:val="15"/>
                <w:szCs w:val="15"/>
                <w:color w:val="auto"/>
              </w:rPr>
            </w:pPr>
          </w:p>
        </w:tc>
        <w:tc>
          <w:tcPr>
            <w:tcW w:w="3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left w:val="single" w:sz="8" w:color="E7E7E2"/>
            </w:tcBorders>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3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80" w:type="dxa"/>
            <w:vAlign w:val="bottom"/>
            <w:tcBorders>
              <w:right w:val="single" w:sz="8" w:color="E7E7E2"/>
            </w:tcBorders>
          </w:tcPr>
          <w:p>
            <w:pPr>
              <w:spacing w:after="0"/>
              <w:rPr>
                <w:sz w:val="19"/>
                <w:szCs w:val="19"/>
                <w:color w:val="auto"/>
              </w:rPr>
            </w:pPr>
          </w:p>
        </w:tc>
        <w:tc>
          <w:tcPr>
            <w:tcW w:w="3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gridSpan w:val="4"/>
          </w:tcPr>
          <w:p>
            <w:pPr>
              <w:ind w:left="300"/>
              <w:spacing w:after="0"/>
              <w:rPr>
                <w:sz w:val="20"/>
                <w:szCs w:val="20"/>
                <w:color w:val="auto"/>
              </w:rPr>
            </w:pPr>
            <w:r>
              <w:rPr>
                <w:rFonts w:ascii="Arial" w:cs="Arial" w:eastAsia="Arial" w:hAnsi="Arial"/>
                <w:sz w:val="17"/>
                <w:szCs w:val="17"/>
                <w:b w:val="1"/>
                <w:bCs w:val="1"/>
                <w:color w:val="auto"/>
              </w:rPr>
              <w:t>Rule 457(p)</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1000" w:type="dxa"/>
            <w:vAlign w:val="bottom"/>
            <w:gridSpan w:val="3"/>
            <w:shd w:val="clear" w:color="auto" w:fill="E7E7E2"/>
          </w:tcPr>
          <w:p>
            <w:pPr>
              <w:spacing w:after="0" w:line="188"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left w:val="single" w:sz="8" w:color="E7E7E2"/>
            </w:tcBorders>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3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80" w:type="dxa"/>
            <w:vAlign w:val="bottom"/>
            <w:tcBorders>
              <w:right w:val="single" w:sz="8" w:color="E7E7E2"/>
            </w:tcBorders>
          </w:tcPr>
          <w:p>
            <w:pPr>
              <w:spacing w:after="0"/>
              <w:rPr>
                <w:sz w:val="16"/>
                <w:szCs w:val="16"/>
                <w:color w:val="auto"/>
              </w:rPr>
            </w:pPr>
          </w:p>
        </w:tc>
        <w:tc>
          <w:tcPr>
            <w:tcW w:w="3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left w:val="single" w:sz="8" w:color="E7E7E2"/>
            </w:tcBorders>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3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80" w:type="dxa"/>
            <w:vAlign w:val="bottom"/>
            <w:tcBorders>
              <w:right w:val="single" w:sz="8" w:color="E7E7E2"/>
            </w:tcBorders>
          </w:tcPr>
          <w:p>
            <w:pPr>
              <w:spacing w:after="0"/>
              <w:rPr>
                <w:sz w:val="19"/>
                <w:szCs w:val="19"/>
                <w:color w:val="auto"/>
              </w:rPr>
            </w:pPr>
          </w:p>
        </w:tc>
        <w:tc>
          <w:tcPr>
            <w:tcW w:w="3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line="176"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260" w:type="dxa"/>
            <w:vAlign w:val="bottom"/>
            <w:tcBorders>
              <w:left w:val="single" w:sz="8" w:color="E7E7E2"/>
            </w:tcBorders>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80" w:type="dxa"/>
            <w:vAlign w:val="bottom"/>
            <w:tcBorders>
              <w:right w:val="single" w:sz="8" w:color="E7E7E2"/>
            </w:tcBorders>
          </w:tcPr>
          <w:p>
            <w:pPr>
              <w:spacing w:after="0"/>
              <w:rPr>
                <w:sz w:val="15"/>
                <w:szCs w:val="15"/>
                <w:color w:val="auto"/>
              </w:rPr>
            </w:pPr>
          </w:p>
        </w:tc>
        <w:tc>
          <w:tcPr>
            <w:tcW w:w="3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left w:val="single" w:sz="8" w:color="E7E7E2"/>
            </w:tcBorders>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3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80" w:type="dxa"/>
            <w:vAlign w:val="bottom"/>
            <w:tcBorders>
              <w:right w:val="single" w:sz="8" w:color="E7E7E2"/>
            </w:tcBorders>
          </w:tcPr>
          <w:p>
            <w:pPr>
              <w:spacing w:after="0"/>
              <w:rPr>
                <w:sz w:val="19"/>
                <w:szCs w:val="19"/>
                <w:color w:val="auto"/>
              </w:rPr>
            </w:pPr>
          </w:p>
        </w:tc>
        <w:tc>
          <w:tcPr>
            <w:tcW w:w="3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4"/>
        </w:trPr>
        <w:tc>
          <w:tcPr>
            <w:tcW w:w="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60" w:type="dxa"/>
            <w:vAlign w:val="bottom"/>
            <w:tcBorders>
              <w:lef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tcBorders>
              <w:right w:val="single" w:sz="8" w:color="9ADAF6"/>
            </w:tcBorders>
            <w:gridSpan w:val="4"/>
            <w:shd w:val="clear" w:color="auto" w:fill="9ADAF6"/>
          </w:tcPr>
          <w:p>
            <w:pPr>
              <w:ind w:left="360"/>
              <w:spacing w:after="0" w:line="193" w:lineRule="exact"/>
              <w:rPr>
                <w:sz w:val="20"/>
                <w:szCs w:val="20"/>
                <w:color w:val="auto"/>
              </w:rPr>
            </w:pPr>
            <w:r>
              <w:rPr>
                <w:rFonts w:ascii="Arial" w:cs="Arial" w:eastAsia="Arial" w:hAnsi="Arial"/>
                <w:sz w:val="17"/>
                <w:szCs w:val="17"/>
                <w:b w:val="1"/>
                <w:bCs w:val="1"/>
                <w:color w:val="auto"/>
              </w:rPr>
              <w:t>Amount of</w:t>
            </w:r>
          </w:p>
        </w:tc>
        <w:tc>
          <w:tcPr>
            <w:tcW w:w="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00" w:type="dxa"/>
            <w:vAlign w:val="bottom"/>
            <w:gridSpan w:val="5"/>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8"/>
              </w:rPr>
              <w:t>Maximum Aggregate</w:t>
            </w: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720" w:type="dxa"/>
            <w:vAlign w:val="bottom"/>
            <w:tcBorders>
              <w:right w:val="single" w:sz="8" w:color="auto"/>
            </w:tcBorders>
            <w:gridSpan w:val="3"/>
            <w:vMerge w:val="restart"/>
            <w:shd w:val="clear" w:color="auto" w:fill="9ADAF6"/>
          </w:tcPr>
          <w:p>
            <w:pPr>
              <w:jc w:val="center"/>
              <w:ind w:right="24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60" w:type="dxa"/>
            <w:vAlign w:val="bottom"/>
            <w:tcBorders>
              <w:lef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tcBorders>
              <w:right w:val="single" w:sz="8" w:color="9ADAF6"/>
            </w:tcBorders>
            <w:gridSpan w:val="4"/>
            <w:vMerge w:val="restart"/>
            <w:shd w:val="clear" w:color="auto" w:fill="9ADAF6"/>
          </w:tcPr>
          <w:p>
            <w:pPr>
              <w:ind w:left="380"/>
              <w:spacing w:after="0" w:line="187" w:lineRule="exact"/>
              <w:rPr>
                <w:sz w:val="20"/>
                <w:szCs w:val="20"/>
                <w:color w:val="auto"/>
              </w:rPr>
            </w:pPr>
            <w:r>
              <w:rPr>
                <w:rFonts w:ascii="Arial" w:cs="Arial" w:eastAsia="Arial" w:hAnsi="Arial"/>
                <w:sz w:val="17"/>
                <w:szCs w:val="17"/>
                <w:b w:val="1"/>
                <w:bCs w:val="1"/>
                <w:color w:val="auto"/>
              </w:rPr>
              <w:t>Securities</w:t>
            </w: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00" w:type="dxa"/>
            <w:vAlign w:val="bottom"/>
            <w:gridSpan w:val="3"/>
            <w:vMerge w:val="restart"/>
            <w:shd w:val="clear" w:color="auto" w:fill="9ADAF6"/>
          </w:tcPr>
          <w:p>
            <w:pPr>
              <w:jc w:val="center"/>
              <w:ind w:right="220"/>
              <w:spacing w:after="0" w:line="187" w:lineRule="exact"/>
              <w:rPr>
                <w:sz w:val="20"/>
                <w:szCs w:val="20"/>
                <w:color w:val="auto"/>
              </w:rPr>
            </w:pPr>
            <w:r>
              <w:rPr>
                <w:rFonts w:ascii="Arial" w:cs="Arial" w:eastAsia="Arial" w:hAnsi="Arial"/>
                <w:sz w:val="17"/>
                <w:szCs w:val="17"/>
                <w:b w:val="1"/>
                <w:bCs w:val="1"/>
                <w:color w:val="auto"/>
                <w:w w:val="99"/>
              </w:rPr>
              <w:t>Offering Price of</w:t>
            </w: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560" w:type="dxa"/>
            <w:vAlign w:val="bottom"/>
            <w:gridSpan w:val="2"/>
            <w:vMerge w:val="restart"/>
            <w:shd w:val="clear" w:color="auto" w:fill="9ADAF6"/>
          </w:tcPr>
          <w:p>
            <w:pPr>
              <w:ind w:left="20"/>
              <w:spacing w:after="0" w:line="187"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720" w:type="dxa"/>
            <w:vAlign w:val="bottom"/>
            <w:tcBorders>
              <w:right w:val="single" w:sz="8" w:color="auto"/>
            </w:tcBorders>
            <w:gridSpan w:val="3"/>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00" w:type="dxa"/>
            <w:vAlign w:val="bottom"/>
            <w:gridSpan w:val="4"/>
            <w:vMerge w:val="restart"/>
            <w:shd w:val="clear" w:color="auto" w:fill="9ADAF6"/>
          </w:tcPr>
          <w:p>
            <w:pPr>
              <w:ind w:left="240"/>
              <w:spacing w:after="0" w:line="187" w:lineRule="exact"/>
              <w:rPr>
                <w:sz w:val="20"/>
                <w:szCs w:val="20"/>
                <w:color w:val="auto"/>
              </w:rPr>
            </w:pPr>
            <w:r>
              <w:rPr>
                <w:rFonts w:ascii="Arial" w:cs="Arial" w:eastAsia="Arial" w:hAnsi="Arial"/>
                <w:sz w:val="17"/>
                <w:szCs w:val="17"/>
                <w:b w:val="1"/>
                <w:bCs w:val="1"/>
                <w:color w:val="auto"/>
                <w:w w:val="91"/>
              </w:rPr>
              <w:t>Security Type</w:t>
            </w:r>
          </w:p>
        </w:tc>
        <w:tc>
          <w:tcPr>
            <w:tcW w:w="260" w:type="dxa"/>
            <w:vAlign w:val="bottom"/>
            <w:tcBorders>
              <w:lef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700" w:type="dxa"/>
            <w:vAlign w:val="bottom"/>
            <w:gridSpan w:val="5"/>
            <w:vMerge w:val="restart"/>
            <w:shd w:val="clear" w:color="auto" w:fill="9ADAF6"/>
          </w:tcPr>
          <w:p>
            <w:pPr>
              <w:ind w:left="640"/>
              <w:spacing w:after="0" w:line="187"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tcBorders>
              <w:right w:val="single" w:sz="8" w:color="9ADAF6"/>
            </w:tcBorders>
            <w:gridSpan w:val="4"/>
            <w:vMerge w:val="continue"/>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560" w:type="dxa"/>
            <w:vAlign w:val="bottom"/>
            <w:gridSpan w:val="2"/>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gridSpan w:val="3"/>
            <w:vMerge w:val="restart"/>
            <w:shd w:val="clear" w:color="auto" w:fill="9ADAF6"/>
          </w:tcPr>
          <w:p>
            <w:pPr>
              <w:ind w:left="80"/>
              <w:spacing w:after="0" w:line="187"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restart"/>
            <w:shd w:val="clear" w:color="auto" w:fill="9ADAF6"/>
          </w:tcPr>
          <w:p>
            <w:pPr>
              <w:jc w:val="center"/>
              <w:ind w:right="20"/>
              <w:spacing w:after="0" w:line="187" w:lineRule="exact"/>
              <w:rPr>
                <w:sz w:val="20"/>
                <w:szCs w:val="20"/>
                <w:color w:val="auto"/>
              </w:rPr>
            </w:pPr>
            <w:r>
              <w:rPr>
                <w:rFonts w:ascii="Arial" w:cs="Arial" w:eastAsia="Arial" w:hAnsi="Arial"/>
                <w:sz w:val="17"/>
                <w:szCs w:val="17"/>
                <w:b w:val="1"/>
                <w:bCs w:val="1"/>
                <w:color w:val="auto"/>
                <w:w w:val="95"/>
              </w:rPr>
              <w:t>Effective</w:t>
            </w: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00" w:type="dxa"/>
            <w:vAlign w:val="bottom"/>
            <w:gridSpan w:val="4"/>
            <w:vMerge w:val="continue"/>
            <w:shd w:val="clear" w:color="auto" w:fill="9ADAF6"/>
          </w:tcPr>
          <w:p>
            <w:pPr>
              <w:spacing w:after="0"/>
              <w:rPr>
                <w:sz w:val="8"/>
                <w:szCs w:val="8"/>
                <w:color w:val="auto"/>
              </w:rPr>
            </w:pPr>
          </w:p>
        </w:tc>
        <w:tc>
          <w:tcPr>
            <w:tcW w:w="260" w:type="dxa"/>
            <w:vAlign w:val="bottom"/>
            <w:tcBorders>
              <w:lef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70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tcBorders>
              <w:right w:val="single" w:sz="8" w:color="9ADAF6"/>
            </w:tcBorders>
            <w:gridSpan w:val="4"/>
            <w:vMerge w:val="restart"/>
            <w:shd w:val="clear" w:color="auto" w:fill="9ADAF6"/>
          </w:tcPr>
          <w:p>
            <w:pPr>
              <w:ind w:left="360"/>
              <w:spacing w:after="0" w:line="187" w:lineRule="exact"/>
              <w:rPr>
                <w:sz w:val="20"/>
                <w:szCs w:val="20"/>
                <w:color w:val="auto"/>
              </w:rPr>
            </w:pPr>
            <w:r>
              <w:rPr>
                <w:rFonts w:ascii="Arial" w:cs="Arial" w:eastAsia="Arial" w:hAnsi="Arial"/>
                <w:sz w:val="17"/>
                <w:szCs w:val="17"/>
                <w:b w:val="1"/>
                <w:bCs w:val="1"/>
                <w:color w:val="auto"/>
                <w:w w:val="99"/>
              </w:rPr>
              <w:t>Previously</w:t>
            </w: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0" w:type="dxa"/>
            <w:vAlign w:val="bottom"/>
            <w:gridSpan w:val="5"/>
            <w:vMerge w:val="restart"/>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Securities Previously</w:t>
            </w: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restart"/>
            <w:shd w:val="clear" w:color="auto" w:fill="9ADAF6"/>
          </w:tcPr>
          <w:p>
            <w:pPr>
              <w:ind w:left="20"/>
              <w:spacing w:after="0" w:line="187"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60" w:type="dxa"/>
            <w:vAlign w:val="bottom"/>
            <w:tcBorders>
              <w:lef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tcBorders>
              <w:right w:val="single" w:sz="8" w:color="9ADAF6"/>
            </w:tcBorders>
            <w:gridSpan w:val="4"/>
            <w:vMerge w:val="continue"/>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5"/>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60" w:type="dxa"/>
            <w:vAlign w:val="bottom"/>
            <w:tcBorders>
              <w:left w:val="single" w:sz="8" w:color="9ADAF6"/>
            </w:tcBorders>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tcBorders>
              <w:right w:val="single" w:sz="8" w:color="9ADAF6"/>
            </w:tcBorders>
            <w:gridSpan w:val="4"/>
            <w:vMerge w:val="restart"/>
            <w:shd w:val="clear" w:color="auto" w:fill="9ADAF6"/>
          </w:tcPr>
          <w:p>
            <w:pPr>
              <w:ind w:left="360"/>
              <w:spacing w:after="0"/>
              <w:rPr>
                <w:sz w:val="20"/>
                <w:szCs w:val="20"/>
                <w:color w:val="auto"/>
              </w:rPr>
            </w:pPr>
            <w:r>
              <w:rPr>
                <w:rFonts w:ascii="Arial" w:cs="Arial" w:eastAsia="Arial" w:hAnsi="Arial"/>
                <w:sz w:val="17"/>
                <w:szCs w:val="17"/>
                <w:b w:val="1"/>
                <w:bCs w:val="1"/>
                <w:color w:val="auto"/>
                <w:w w:val="97"/>
              </w:rPr>
              <w:t>Registered</w:t>
            </w:r>
          </w:p>
        </w:tc>
        <w:tc>
          <w:tcPr>
            <w:tcW w:w="3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00" w:type="dxa"/>
            <w:vAlign w:val="bottom"/>
            <w:gridSpan w:val="3"/>
            <w:vMerge w:val="restart"/>
            <w:shd w:val="clear" w:color="auto" w:fill="9ADAF6"/>
          </w:tcPr>
          <w:p>
            <w:pPr>
              <w:jc w:val="center"/>
              <w:ind w:right="200"/>
              <w:spacing w:after="0"/>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60" w:type="dxa"/>
            <w:vAlign w:val="bottom"/>
            <w:tcBorders>
              <w:left w:val="single" w:sz="8" w:color="9ADAF6"/>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tcBorders>
              <w:right w:val="single" w:sz="8" w:color="9ADAF6"/>
            </w:tcBorders>
            <w:gridSpan w:val="4"/>
            <w:vMerge w:val="continue"/>
            <w:shd w:val="clear" w:color="auto" w:fill="9ADAF6"/>
          </w:tcPr>
          <w:p>
            <w:pPr>
              <w:spacing w:after="0"/>
              <w:rPr>
                <w:sz w:val="7"/>
                <w:szCs w:val="7"/>
                <w:color w:val="auto"/>
              </w:rPr>
            </w:pPr>
          </w:p>
        </w:tc>
        <w:tc>
          <w:tcPr>
            <w:tcW w:w="3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0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2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3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60"/>
      </w:cols>
      <w:pgMar w:left="300" w:top="1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233C99"/>
    <w:multiLevelType w:val="hybridMultilevel"/>
    <w:lvl w:ilvl="0">
      <w:lvlJc w:val="left"/>
      <w:lvlText w:val="(%1)"/>
      <w:numFmt w:val="decimal"/>
      <w:start w:val="1"/>
    </w:lvl>
  </w:abstractNum>
  <w:abstractNum w:abstractNumId="1">
    <w:nsid w:val="3F6AB60F"/>
    <w:multiLevelType w:val="hybridMultilevel"/>
    <w:lvl w:ilvl="0">
      <w:lvlJc w:val="left"/>
      <w:lvlText w:val="•"/>
      <w:numFmt w:val="bullet"/>
      <w:start w:val="1"/>
    </w:lvl>
  </w:abstractNum>
  <w:abstractNum w:abstractNumId="2">
    <w:nsid w:val="61574095"/>
    <w:multiLevelType w:val="hybridMultilevel"/>
    <w:lvl w:ilvl="0">
      <w:lvlJc w:val="left"/>
      <w:lvlText w:val="•"/>
      <w:numFmt w:val="bullet"/>
      <w:start w:val="1"/>
    </w:lvl>
  </w:abstractNum>
  <w:abstractNum w:abstractNumId="3">
    <w:nsid w:val="7E0C57B1"/>
    <w:multiLevelType w:val="hybridMultilevel"/>
    <w:lvl w:ilvl="0">
      <w:lvlJc w:val="left"/>
      <w:lvlText w:val="•"/>
      <w:numFmt w:val="bullet"/>
      <w:start w:val="1"/>
    </w:lvl>
  </w:abstractNum>
  <w:abstractNum w:abstractNumId="4">
    <w:nsid w:val="77AE35EB"/>
    <w:multiLevelType w:val="hybridMultilevel"/>
    <w:lvl w:ilvl="0">
      <w:lvlJc w:val="left"/>
      <w:lvlText w:val="•"/>
      <w:numFmt w:val="bullet"/>
      <w:start w:val="1"/>
    </w:lvl>
  </w:abstractNum>
  <w:abstractNum w:abstractNumId="5">
    <w:nsid w:val="579BE4F1"/>
    <w:multiLevelType w:val="hybridMultilevel"/>
    <w:lvl w:ilvl="0">
      <w:lvlJc w:val="left"/>
      <w:lvlText w:val="•"/>
      <w:numFmt w:val="bullet"/>
      <w:start w:val="1"/>
    </w:lvl>
  </w:abstractNum>
  <w:abstractNum w:abstractNumId="6">
    <w:nsid w:val="310C50B3"/>
    <w:multiLevelType w:val="hybridMultilevel"/>
    <w:lvl w:ilvl="0">
      <w:lvlJc w:val="left"/>
      <w:lvlText w:val="•"/>
      <w:numFmt w:val="bullet"/>
      <w:start w:val="1"/>
    </w:lvl>
  </w:abstractNum>
  <w:abstractNum w:abstractNumId="7">
    <w:nsid w:val="5FF87E05"/>
    <w:multiLevelType w:val="hybridMultilevel"/>
    <w:lvl w:ilvl="0">
      <w:lvlJc w:val="left"/>
      <w:lvlText w:val="•"/>
      <w:numFmt w:val="bullet"/>
      <w:start w:val="1"/>
    </w:lvl>
  </w:abstractNum>
  <w:abstractNum w:abstractNumId="8">
    <w:nsid w:val="2F305DEF"/>
    <w:multiLevelType w:val="hybridMultilevel"/>
    <w:lvl w:ilvl="0">
      <w:lvlJc w:val="left"/>
      <w:lvlText w:val="•"/>
      <w:numFmt w:val="bullet"/>
      <w:start w:val="1"/>
    </w:lvl>
  </w:abstractNum>
  <w:abstractNum w:abstractNumId="9">
    <w:nsid w:val="25A70BF7"/>
    <w:multiLevelType w:val="hybridMultilevel"/>
    <w:lvl w:ilvl="0">
      <w:lvlJc w:val="left"/>
      <w:lvlText w:val="•"/>
      <w:numFmt w:val="bullet"/>
      <w:start w:val="1"/>
    </w:lvl>
  </w:abstractNum>
  <w:abstractNum w:abstractNumId="10">
    <w:nsid w:val="1DBABF00"/>
    <w:multiLevelType w:val="hybridMultilevel"/>
    <w:lvl w:ilvl="0">
      <w:lvlJc w:val="left"/>
      <w:lvlText w:val="•"/>
      <w:numFmt w:val="bullet"/>
      <w:start w:val="1"/>
    </w:lvl>
  </w:abstractNum>
  <w:abstractNum w:abstractNumId="11">
    <w:nsid w:val="4AD084E9"/>
    <w:multiLevelType w:val="hybridMultilevel"/>
    <w:lvl w:ilvl="0">
      <w:lvlJc w:val="left"/>
      <w:lvlText w:val="•"/>
      <w:numFmt w:val="bullet"/>
      <w:start w:val="1"/>
    </w:lvl>
  </w:abstractNum>
  <w:abstractNum w:abstractNumId="12">
    <w:nsid w:val="1F48EAA1"/>
    <w:multiLevelType w:val="hybridMultilevel"/>
    <w:lvl w:ilvl="0">
      <w:lvlJc w:val="left"/>
      <w:lvlText w:val="•"/>
      <w:numFmt w:val="bullet"/>
      <w:start w:val="1"/>
    </w:lvl>
  </w:abstractNum>
  <w:abstractNum w:abstractNumId="13">
    <w:nsid w:val="1381823A"/>
    <w:multiLevelType w:val="hybridMultilevel"/>
    <w:lvl w:ilvl="0">
      <w:lvlJc w:val="left"/>
      <w:lvlText w:val="•"/>
      <w:numFmt w:val="bullet"/>
      <w:start w:val="1"/>
    </w:lvl>
  </w:abstractNum>
  <w:abstractNum w:abstractNumId="14">
    <w:nsid w:val="5DB70AE5"/>
    <w:multiLevelType w:val="hybridMultilevel"/>
    <w:lvl w:ilvl="0">
      <w:lvlJc w:val="left"/>
      <w:lvlText w:val="(%1)"/>
      <w:numFmt w:val="decimal"/>
      <w:start w:val="1"/>
    </w:lvl>
    <w:lvl w:ilvl="1">
      <w:lvlJc w:val="left"/>
      <w:lvlText w:val="•"/>
      <w:numFmt w:val="bullet"/>
      <w:start w:val="1"/>
    </w:lvl>
  </w:abstractNum>
  <w:abstractNum w:abstractNumId="15">
    <w:nsid w:val="100F8FCA"/>
    <w:multiLevelType w:val="hybridMultilevel"/>
    <w:lvl w:ilvl="0">
      <w:lvlJc w:val="left"/>
      <w:lvlText w:val="(%1)"/>
      <w:numFmt w:val="lowerRoman"/>
      <w:start w:val="3"/>
    </w:lvl>
  </w:abstractNum>
  <w:abstractNum w:abstractNumId="16">
    <w:nsid w:val="6590700B"/>
    <w:multiLevelType w:val="hybridMultilevel"/>
    <w:lvl w:ilvl="0">
      <w:lvlJc w:val="left"/>
      <w:lvlText w:val="(%1)"/>
      <w:numFmt w:val="decimal"/>
      <w:start w:val="1"/>
    </w:lvl>
  </w:abstractNum>
  <w:abstractNum w:abstractNumId="17">
    <w:nsid w:val="15014ACB"/>
    <w:multiLevelType w:val="hybridMultilevel"/>
    <w:lvl w:ilvl="0">
      <w:lvlJc w:val="left"/>
      <w:lvlText w:val="•"/>
      <w:numFmt w:val="bullet"/>
      <w:start w:val="1"/>
    </w:lvl>
  </w:abstractNum>
  <w:abstractNum w:abstractNumId="18">
    <w:nsid w:val="5F5E7FD0"/>
    <w:multiLevelType w:val="hybridMultilevel"/>
    <w:lvl w:ilvl="0">
      <w:lvlJc w:val="left"/>
      <w:lvlText w:val="•"/>
      <w:numFmt w:val="bullet"/>
      <w:start w:val="1"/>
    </w:lvl>
  </w:abstractNum>
  <w:abstractNum w:abstractNumId="19">
    <w:nsid w:val="98A3148"/>
    <w:multiLevelType w:val="hybridMultilevel"/>
    <w:lvl w:ilvl="0">
      <w:lvlJc w:val="left"/>
      <w:lvlText w:val="•"/>
      <w:numFmt w:val="bullet"/>
      <w:start w:val="1"/>
    </w:lvl>
  </w:abstractNum>
  <w:abstractNum w:abstractNumId="20">
    <w:nsid w:val="799D0247"/>
    <w:multiLevelType w:val="hybridMultilevel"/>
    <w:lvl w:ilvl="0">
      <w:lvlJc w:val="left"/>
      <w:lvlText w:val="(%1)"/>
      <w:numFmt w:val="decimal"/>
      <w:start w:val="1"/>
    </w:lvl>
  </w:abstractNum>
  <w:abstractNum w:abstractNumId="21">
    <w:nsid w:val="6B94764"/>
    <w:multiLevelType w:val="hybridMultilevel"/>
    <w:lvl w:ilvl="0">
      <w:lvlJc w:val="left"/>
      <w:lvlText w:val="(%1)"/>
      <w:numFmt w:val="lowerRoman"/>
      <w:start w:val="5"/>
    </w:lvl>
  </w:abstractNum>
  <w:abstractNum w:abstractNumId="22">
    <w:nsid w:val="42C296BD"/>
    <w:multiLevelType w:val="hybridMultilevel"/>
    <w:lvl w:ilvl="0">
      <w:lvlJc w:val="left"/>
      <w:lvlText w:val="(%1)"/>
      <w:numFmt w:val="decimal"/>
      <w:start w:val="1"/>
    </w:lvl>
  </w:abstractNum>
  <w:abstractNum w:abstractNumId="23">
    <w:nsid w:val="168E121F"/>
    <w:multiLevelType w:val="hybridMultilevel"/>
    <w:lvl w:ilvl="0">
      <w:lvlJc w:val="left"/>
      <w:lvlText w:val="(%1)"/>
      <w:numFmt w:val="decimal"/>
      <w:start w:val="4"/>
    </w:lvl>
  </w:abstractNum>
  <w:abstractNum w:abstractNumId="24">
    <w:nsid w:val="1EBA5D23"/>
    <w:multiLevelType w:val="hybridMultilevel"/>
    <w:lvl w:ilvl="0">
      <w:lvlJc w:val="left"/>
      <w:lvlText w:val="•"/>
      <w:numFmt w:val="bullet"/>
      <w:start w:val="1"/>
    </w:lvl>
  </w:abstractNum>
  <w:abstractNum w:abstractNumId="25">
    <w:nsid w:val="661E3F1E"/>
    <w:multiLevelType w:val="hybridMultilevel"/>
    <w:lvl w:ilvl="0">
      <w:lvlJc w:val="left"/>
      <w:lvlText w:val="•"/>
      <w:numFmt w:val="bullet"/>
      <w:start w:val="1"/>
    </w:lvl>
  </w:abstractNum>
  <w:abstractNum w:abstractNumId="26">
    <w:nsid w:val="5DC79EA8"/>
    <w:multiLevelType w:val="hybridMultilevel"/>
    <w:lvl w:ilvl="0">
      <w:lvlJc w:val="left"/>
      <w:lvlText w:val="(%1)"/>
      <w:numFmt w:val="decimal"/>
      <w:start w:val="1"/>
    </w:lvl>
    <w:lvl w:ilvl="1">
      <w:lvlJc w:val="left"/>
      <w:lvlText w:val="•"/>
      <w:numFmt w:val="bullet"/>
      <w:start w:val="1"/>
    </w:lvl>
  </w:abstractNum>
  <w:abstractNum w:abstractNumId="27">
    <w:nsid w:val="540A471C"/>
    <w:multiLevelType w:val="hybridMultilevel"/>
    <w:lvl w:ilvl="0">
      <w:lvlJc w:val="left"/>
      <w:lvlText w:val="(%1)"/>
      <w:numFmt w:val="decimal"/>
      <w:start w:val="1"/>
    </w:lvl>
  </w:abstractNum>
  <w:abstractNum w:abstractNumId="28">
    <w:nsid w:val="7BD3EE7B"/>
    <w:multiLevelType w:val="hybridMultilevel"/>
    <w:lvl w:ilvl="0">
      <w:lvlJc w:val="left"/>
      <w:lvlText w:val="*"/>
      <w:numFmt w:val="bullet"/>
      <w:start w:val="1"/>
    </w:lvl>
  </w:abstractNum>
  <w:abstractNum w:abstractNumId="29">
    <w:nsid w:val="51D9C564"/>
    <w:multiLevelType w:val="hybridMultilevel"/>
    <w:lvl w:ilvl="0">
      <w:lvlJc w:val="left"/>
      <w:lvlText w:val="(%1)"/>
      <w:numFmt w:val="decimal"/>
      <w:start w:val="1"/>
    </w:lvl>
  </w:abstractNum>
  <w:abstractNum w:abstractNumId="30">
    <w:nsid w:val="613EFDC5"/>
    <w:multiLevelType w:val="hybridMultilevel"/>
    <w:lvl w:ilvl="0">
      <w:lvlJc w:val="left"/>
      <w:lvlText w:val="(%1)"/>
      <w:numFmt w:val="decimal"/>
      <w:start w:val="2"/>
    </w:lvl>
  </w:abstractNum>
  <w:abstractNum w:abstractNumId="31">
    <w:nsid w:val="BF72B14"/>
    <w:multiLevelType w:val="hybridMultilevel"/>
    <w:lvl w:ilvl="0">
      <w:lvlJc w:val="left"/>
      <w:lvlText w:val="(%1)"/>
      <w:numFmt w:val="decimal"/>
      <w:start w:val="5"/>
    </w:lvl>
  </w:abstractNum>
  <w:abstractNum w:abstractNumId="32">
    <w:nsid w:val="11447B73"/>
    <w:multiLevelType w:val="hybridMultilevel"/>
    <w:lvl w:ilvl="0">
      <w:lvlJc w:val="left"/>
      <w:lvlText w:val="(%1)"/>
      <w:numFmt w:val="decimal"/>
      <w:start w:val="7"/>
    </w:lvl>
  </w:abstractNum>
  <w:abstractNum w:abstractNumId="33">
    <w:nsid w:val="42963E5A"/>
    <w:multiLevelType w:val="hybridMultilevel"/>
    <w:lvl w:ilvl="0">
      <w:lvlJc w:val="left"/>
      <w:lvlText w:val="(%1)"/>
      <w:numFmt w:val="decimal"/>
      <w:start w:val="15"/>
    </w:lvl>
  </w:abstractNum>
  <w:abstractNum w:abstractNumId="34">
    <w:nsid w:val="A0382C5"/>
    <w:multiLevelType w:val="hybridMultilevel"/>
    <w:lvl w:ilvl="0">
      <w:lvlJc w:val="left"/>
      <w:lvlText w:val="•"/>
      <w:numFmt w:val="bullet"/>
      <w:start w:val="1"/>
    </w:lvl>
  </w:abstractNum>
  <w:abstractNum w:abstractNumId="35">
    <w:nsid w:val="8F2B15E"/>
    <w:multiLevelType w:val="hybridMultilevel"/>
    <w:lvl w:ilvl="0">
      <w:lvlJc w:val="left"/>
      <w:lvlText w:val="•"/>
      <w:numFmt w:val="bullet"/>
      <w:start w:val="1"/>
    </w:lvl>
  </w:abstractNum>
  <w:abstractNum w:abstractNumId="36">
    <w:nsid w:val="1A32234B"/>
    <w:multiLevelType w:val="hybridMultilevel"/>
    <w:lvl w:ilvl="0">
      <w:lvlJc w:val="left"/>
      <w:lvlText w:val="•"/>
      <w:numFmt w:val="bullet"/>
      <w:start w:val="1"/>
    </w:lvl>
  </w:abstractNum>
  <w:abstractNum w:abstractNumId="37">
    <w:nsid w:val="3B0FD379"/>
    <w:multiLevelType w:val="hybridMultilevel"/>
    <w:lvl w:ilvl="0">
      <w:lvlJc w:val="left"/>
      <w:lvlText w:val="(%1)"/>
      <w:numFmt w:val="lowerRoman"/>
      <w:start w:val="1"/>
    </w:lvl>
  </w:abstractNum>
  <w:abstractNum w:abstractNumId="38">
    <w:nsid w:val="68EB2F63"/>
    <w:multiLevelType w:val="hybridMultilevel"/>
    <w:lvl w:ilvl="0">
      <w:lvlJc w:val="left"/>
      <w:lvlText w:val="•"/>
      <w:numFmt w:val="bullet"/>
      <w:start w:val="1"/>
    </w:lvl>
  </w:abstractNum>
  <w:abstractNum w:abstractNumId="39">
    <w:nsid w:val="4962813B"/>
    <w:multiLevelType w:val="hybridMultilevel"/>
    <w:lvl w:ilvl="0">
      <w:lvlJc w:val="left"/>
      <w:lvlText w:val="•"/>
      <w:numFmt w:val="bullet"/>
      <w:start w:val="1"/>
    </w:lvl>
  </w:abstractNum>
  <w:abstractNum w:abstractNumId="40">
    <w:nsid w:val="60B6DF70"/>
    <w:multiLevelType w:val="hybridMultilevel"/>
    <w:lvl w:ilvl="0">
      <w:lvlJc w:val="left"/>
      <w:lvlText w:val="(%1)"/>
      <w:numFmt w:val="lowerLetter"/>
      <w:start w:val="1"/>
    </w:lvl>
    <w:lvl w:ilvl="1">
      <w:lvlJc w:val="left"/>
      <w:lvlText w:val="(%2)"/>
      <w:numFmt w:val="lowerRoman"/>
      <w:start w:val="1"/>
    </w:lvl>
  </w:abstractNum>
  <w:abstractNum w:abstractNumId="41">
    <w:nsid w:val="6A5EE64"/>
    <w:multiLevelType w:val="hybridMultilevel"/>
    <w:lvl w:ilvl="0">
      <w:lvlJc w:val="left"/>
      <w:lvlText w:val="%1"/>
      <w:numFmt w:val="lowerLetter"/>
      <w:start w:val="1"/>
    </w:lvl>
    <w:lvl w:ilvl="1">
      <w:lvlJc w:val="left"/>
      <w:lvlText w:val="(%2)"/>
      <w:numFmt w:val="lowerRoman"/>
      <w:start w:val="11"/>
    </w:lvl>
  </w:abstractNum>
  <w:abstractNum w:abstractNumId="42">
    <w:nsid w:val="14330624"/>
    <w:multiLevelType w:val="hybridMultilevel"/>
    <w:lvl w:ilvl="0">
      <w:lvlJc w:val="left"/>
      <w:lvlText w:val="(%1)"/>
      <w:numFmt w:val="lowerLetter"/>
      <w:start w:val="2"/>
    </w:lvl>
    <w:lvl w:ilvl="1">
      <w:lvlJc w:val="left"/>
      <w:lvlText w:val="%2"/>
      <w:numFmt w:val="lowerRoman"/>
      <w:start w:val="1"/>
    </w:lvl>
  </w:abstractNum>
  <w:abstractNum w:abstractNumId="43">
    <w:nsid w:val="7FFFCA11"/>
    <w:multiLevelType w:val="hybridMultilevel"/>
    <w:lvl w:ilvl="0">
      <w:lvlJc w:val="left"/>
      <w:lvlText w:val="(%1)"/>
      <w:numFmt w:val="lowerLetter"/>
      <w:start w:val="4"/>
    </w:lvl>
  </w:abstractNum>
  <w:abstractNum w:abstractNumId="44">
    <w:nsid w:val="1A27709E"/>
    <w:multiLevelType w:val="hybridMultilevel"/>
    <w:lvl w:ilvl="0">
      <w:lvlJc w:val="left"/>
      <w:lvlText w:val="(%1)"/>
      <w:numFmt w:val="lowerLetter"/>
      <w:start w:val="1"/>
    </w:lvl>
  </w:abstractNum>
  <w:abstractNum w:abstractNumId="45">
    <w:nsid w:val="71EA1109"/>
    <w:multiLevelType w:val="hybridMultilevel"/>
    <w:lvl w:ilvl="0">
      <w:lvlJc w:val="left"/>
      <w:lvlText w:val="(%1)"/>
      <w:numFmt w:val="lowerLetter"/>
      <w:start w:val="1"/>
    </w:lvl>
  </w:abstractNum>
  <w:abstractNum w:abstractNumId="46">
    <w:nsid w:val="100F59DC"/>
    <w:multiLevelType w:val="hybridMultilevel"/>
    <w:lvl w:ilvl="0">
      <w:lvlJc w:val="left"/>
      <w:lvlText w:val="(%1)"/>
      <w:numFmt w:val="lowerLetter"/>
      <w:start w:val="2"/>
    </w:lvl>
  </w:abstractNum>
  <w:abstractNum w:abstractNumId="47">
    <w:nsid w:val="7FB7E0AA"/>
    <w:multiLevelType w:val="hybridMultilevel"/>
    <w:lvl w:ilvl="0">
      <w:lvlJc w:val="left"/>
      <w:lvlText w:val="(%1)"/>
      <w:numFmt w:val="lowerRoman"/>
      <w:start w:val="3"/>
    </w:lvl>
  </w:abstractNum>
  <w:abstractNum w:abstractNumId="48">
    <w:nsid w:val="6EB5BD4"/>
    <w:multiLevelType w:val="hybridMultilevel"/>
    <w:lvl w:ilvl="0">
      <w:lvlJc w:val="left"/>
      <w:lvlText w:val="(%1)"/>
      <w:numFmt w:val="lowerLetter"/>
      <w:start w:val="1"/>
    </w:lvl>
  </w:abstractNum>
  <w:abstractNum w:abstractNumId="49">
    <w:nsid w:val="6F6DD9AC"/>
    <w:multiLevelType w:val="hybridMultilevel"/>
    <w:lvl w:ilvl="0">
      <w:lvlJc w:val="left"/>
      <w:lvlText w:val="(%1)"/>
      <w:numFmt w:val="lowerLetter"/>
      <w:start w:val="1"/>
    </w:lvl>
  </w:abstractNum>
  <w:abstractNum w:abstractNumId="50">
    <w:nsid w:val="94211F2"/>
    <w:multiLevelType w:val="hybridMultilevel"/>
    <w:lvl w:ilvl="0">
      <w:lvlJc w:val="left"/>
      <w:lvlText w:val="•"/>
      <w:numFmt w:val="bullet"/>
      <w:start w:val="1"/>
    </w:lvl>
  </w:abstractNum>
  <w:abstractNum w:abstractNumId="51">
    <w:nsid w:val="885E1B"/>
    <w:multiLevelType w:val="hybridMultilevel"/>
    <w:lvl w:ilvl="0">
      <w:lvlJc w:val="left"/>
      <w:lvlText w:val="•"/>
      <w:numFmt w:val="bullet"/>
      <w:start w:val="1"/>
    </w:lvl>
  </w:abstractNum>
  <w:abstractNum w:abstractNumId="52">
    <w:nsid w:val="76272110"/>
    <w:multiLevelType w:val="hybridMultilevel"/>
    <w:lvl w:ilvl="0">
      <w:lvlJc w:val="left"/>
      <w:lvlText w:val="(%1)"/>
      <w:numFmt w:val="lowerLetter"/>
      <w:start w:val="1"/>
    </w:lvl>
  </w:abstractNum>
  <w:abstractNum w:abstractNumId="53">
    <w:nsid w:val="4C04A8AF"/>
    <w:multiLevelType w:val="hybridMultilevel"/>
    <w:lvl w:ilvl="0">
      <w:lvlJc w:val="left"/>
      <w:lvlText w:val="(%1)"/>
      <w:numFmt w:val="decimal"/>
      <w:start w:val="1"/>
    </w:lvl>
    <w:lvl w:ilvl="1">
      <w:lvlJc w:val="left"/>
      <w:lvlText w:val="(%2)"/>
      <w:numFmt w:val="upperLetter"/>
      <w:start w:val="1"/>
    </w:lvl>
  </w:abstractNum>
  <w:abstractNum w:abstractNumId="54">
    <w:nsid w:val="1716703B"/>
    <w:multiLevelType w:val="hybridMultilevel"/>
    <w:lvl w:ilvl="0">
      <w:lvlJc w:val="left"/>
      <w:lvlText w:val="(%1)"/>
      <w:numFmt w:val="upperLetter"/>
      <w:start w:val="4"/>
    </w:lvl>
    <w:lvl w:ilvl="1">
      <w:lvlJc w:val="left"/>
      <w:lvlText w:val="(%2)"/>
      <w:numFmt w:val="lowerRoman"/>
      <w:start w:val="1"/>
    </w:lvl>
  </w:abstractNum>
  <w:abstractNum w:abstractNumId="55">
    <w:nsid w:val="14E17E33"/>
    <w:multiLevelType w:val="hybridMultilevel"/>
    <w:lvl w:ilvl="0">
      <w:lvlJc w:val="left"/>
      <w:lvlText w:val=" "/>
      <w:numFmt w:val="bullet"/>
      <w:start w:val="1"/>
    </w:lvl>
  </w:abstractNum>
  <w:abstractNum w:abstractNumId="56">
    <w:nsid w:val="3222E7CD"/>
    <w:multiLevelType w:val="hybridMultilevel"/>
    <w:lvl w:ilvl="0">
      <w:lvlJc w:val="left"/>
      <w:lvlText w:val=" "/>
      <w:numFmt w:val="bullet"/>
      <w:start w:val="1"/>
    </w:lvl>
  </w:abstractNum>
  <w:abstractNum w:abstractNumId="57">
    <w:nsid w:val="74DE0EE3"/>
    <w:multiLevelType w:val="hybridMultilevel"/>
    <w:lvl w:ilvl="0">
      <w:lvlJc w:val="left"/>
      <w:lvlText w:val=" "/>
      <w:numFmt w:val="bullet"/>
      <w:start w:val="1"/>
    </w:lvl>
  </w:abstractNum>
  <w:abstractNum w:abstractNumId="58">
    <w:nsid w:val="68EBC550"/>
    <w:multiLevelType w:val="hybridMultilevel"/>
    <w:lvl w:ilvl="0">
      <w:lvlJc w:val="left"/>
      <w:lvlText w:val=" "/>
      <w:numFmt w:val="bullet"/>
      <w:start w:val="1"/>
    </w:lvl>
  </w:abstractNum>
  <w:abstractNum w:abstractNumId="59">
    <w:nsid w:val="2DF6D648"/>
    <w:multiLevelType w:val="hybridMultilevel"/>
    <w:lvl w:ilvl="0">
      <w:lvlJc w:val="left"/>
      <w:lvlText w:val=" "/>
      <w:numFmt w:val="bullet"/>
      <w:start w:val="1"/>
    </w:lvl>
  </w:abstractNum>
  <w:abstractNum w:abstractNumId="60">
    <w:nsid w:val="46B7D447"/>
    <w:multiLevelType w:val="hybridMultilevel"/>
    <w:lvl w:ilvl="0">
      <w:lvlJc w:val="left"/>
      <w:lvlText w:val=" "/>
      <w:numFmt w:val="bullet"/>
      <w:start w:val="1"/>
    </w:lvl>
  </w:abstractNum>
  <w:abstractNum w:abstractNumId="61">
    <w:nsid w:val="4A2AC315"/>
    <w:multiLevelType w:val="hybridMultilevel"/>
    <w:lvl w:ilvl="0">
      <w:lvlJc w:val="left"/>
      <w:lvlText w:val=" "/>
      <w:numFmt w:val="bullet"/>
      <w:start w:val="1"/>
    </w:lvl>
  </w:abstractNum>
  <w:abstractNum w:abstractNumId="62">
    <w:nsid w:val="39EE015C"/>
    <w:multiLevelType w:val="hybridMultilevel"/>
    <w:lvl w:ilvl="0">
      <w:lvlJc w:val="left"/>
      <w:lvlText w:val=" "/>
      <w:numFmt w:val="bullet"/>
      <w:start w:val="1"/>
    </w:lvl>
  </w:abstractNum>
  <w:abstractNum w:abstractNumId="63">
    <w:nsid w:val="57FC4FBB"/>
    <w:multiLevelType w:val="hybridMultilevel"/>
    <w:lvl w:ilvl="0">
      <w:lvlJc w:val="left"/>
      <w:lvlText w:val="%1"/>
      <w:numFmt w:val="decimal"/>
      <w:start w:val="107"/>
    </w:lvl>
  </w:abstractNum>
  <w:abstractNum w:abstractNumId="64">
    <w:nsid w:val="CC1016F"/>
    <w:multiLevelType w:val="hybridMultilevel"/>
    <w:lvl w:ilvl="0">
      <w:lvlJc w:val="left"/>
      <w:lvlText w:val="%1."/>
      <w:numFmt w:val="decimal"/>
      <w:start w:val="1"/>
    </w:lvl>
    <w:lvl w:ilvl="1">
      <w:lvlJc w:val="left"/>
      <w:lvlText w:val="(%2)"/>
      <w:numFmt w:val="lowerLetter"/>
      <w:start w:val="1"/>
    </w:lvl>
  </w:abstractNum>
  <w:abstractNum w:abstractNumId="65">
    <w:nsid w:val="43F18422"/>
    <w:multiLevelType w:val="hybridMultilevel"/>
    <w:lvl w:ilvl="0">
      <w:lvlJc w:val="left"/>
      <w:lvlText w:val="(%1)"/>
      <w:numFmt w:val="lowerLetter"/>
      <w:start w:val="2"/>
    </w:lvl>
  </w:abstractNum>
  <w:abstractNum w:abstractNumId="66">
    <w:nsid w:val="60EF0119"/>
    <w:multiLevelType w:val="hybridMultilevel"/>
    <w:lvl w:ilvl="0">
      <w:lvlJc w:val="left"/>
      <w:lvlText w:val="(%1)"/>
      <w:numFmt w:val="lowerLetter"/>
      <w:start w:val="7"/>
    </w:lvl>
  </w:abstractNum>
  <w:abstractNum w:abstractNumId="67">
    <w:nsid w:val="26F324BA"/>
    <w:multiLevelType w:val="hybridMultilevel"/>
    <w:lvl w:ilvl="0">
      <w:lvlJc w:val="left"/>
      <w:lvlText w:val="%1"/>
      <w:numFmt w:val="lowerLetter"/>
      <w:start w:val="1"/>
    </w:lvl>
    <w:lvl w:ilvl="1">
      <w:lvlJc w:val="left"/>
      <w:lvlText w:val="(%2)"/>
      <w:numFmt w:val="lowerLetter"/>
      <w:start w:val="10"/>
    </w:lvl>
  </w:abstractNum>
  <w:abstractNum w:abstractNumId="68">
    <w:nsid w:val="7F01579B"/>
    <w:multiLevelType w:val="hybridMultilevel"/>
    <w:lvl w:ilvl="0">
      <w:lvlJc w:val="left"/>
      <w:lvlText w:val="(%1)"/>
      <w:numFmt w:val="lowerLetter"/>
      <w:start w:val="9"/>
    </w:lvl>
    <w:lvl w:ilvl="1">
      <w:lvlJc w:val="left"/>
      <w:lvlText w:val="(%2)"/>
      <w:numFmt w:val="lowerLetter"/>
      <w:start w:val="11"/>
    </w:lvl>
  </w:abstractNum>
  <w:abstractNum w:abstractNumId="69">
    <w:nsid w:val="49DA307D"/>
    <w:multiLevelType w:val="hybridMultilevel"/>
    <w:lvl w:ilvl="0">
      <w:lvlJc w:val="left"/>
      <w:lvlText w:val="%1"/>
      <w:numFmt w:val="upperLetter"/>
      <w:start w:val="1"/>
    </w:lvl>
    <w:lvl w:ilvl="1">
      <w:lvlJc w:val="left"/>
      <w:lvlText w:val="(%2)"/>
      <w:numFmt w:val="lowerLetter"/>
      <w:start w:val="12"/>
    </w:lvl>
  </w:abstractNum>
  <w:abstractNum w:abstractNumId="70">
    <w:nsid w:val="7055A5F5"/>
    <w:multiLevelType w:val="hybridMultilevel"/>
    <w:lvl w:ilvl="0">
      <w:lvlJc w:val="left"/>
      <w:lvlText w:val="(%1)"/>
      <w:numFmt w:val="upperLetter"/>
      <w:start w:val="2"/>
    </w:lvl>
    <w:lvl w:ilvl="1">
      <w:lvlJc w:val="left"/>
      <w:lvlText w:val="(%2)"/>
      <w:numFmt w:val="lowerLetter"/>
      <w:start w:val="13"/>
    </w:lvl>
  </w:abstractNum>
  <w:abstractNum w:abstractNumId="71">
    <w:nsid w:val="5FB8370B"/>
    <w:multiLevelType w:val="hybridMultilevel"/>
    <w:lvl w:ilvl="0">
      <w:lvlJc w:val="left"/>
      <w:lvlText w:val="%1"/>
      <w:numFmt w:val="lowerLetter"/>
      <w:start w:val="1"/>
    </w:lvl>
    <w:lvl w:ilvl="1">
      <w:lvlJc w:val="left"/>
      <w:lvlText w:val="(%2)"/>
      <w:numFmt w:val="lowerLetter"/>
      <w:start w:val="16"/>
    </w:lvl>
  </w:abstractNum>
  <w:abstractNum w:abstractNumId="72">
    <w:nsid w:val="50801EE1"/>
    <w:multiLevelType w:val="hybridMultilevel"/>
    <w:lvl w:ilvl="0">
      <w:lvlJc w:val="left"/>
      <w:lvlText w:val="(%1)"/>
      <w:numFmt w:val="lowerLetter"/>
      <w:start w:val="35"/>
    </w:lvl>
    <w:lvl w:ilvl="1">
      <w:lvlJc w:val="left"/>
      <w:lvlText w:val="(%2)"/>
      <w:numFmt w:val="lowerLetter"/>
      <w:start w:val="18"/>
    </w:lvl>
  </w:abstractNum>
  <w:abstractNum w:abstractNumId="73">
    <w:nsid w:val="488AC1A"/>
    <w:multiLevelType w:val="hybridMultilevel"/>
    <w:lvl w:ilvl="0">
      <w:lvlJc w:val="left"/>
      <w:lvlText w:val="(%1)"/>
      <w:numFmt w:val="lowerLetter"/>
      <w:start w:val="20"/>
    </w:lvl>
  </w:abstractNum>
  <w:abstractNum w:abstractNumId="74">
    <w:nsid w:val="5FB8011C"/>
    <w:multiLevelType w:val="hybridMultilevel"/>
    <w:lvl w:ilvl="0">
      <w:lvlJc w:val="left"/>
      <w:lvlText w:val="%1"/>
      <w:numFmt w:val="lowerLetter"/>
      <w:start w:val="1"/>
    </w:lvl>
    <w:lvl w:ilvl="1">
      <w:lvlJc w:val="left"/>
      <w:lvlText w:val="(%2)"/>
      <w:numFmt w:val="lowerLetter"/>
      <w:start w:val="27"/>
    </w:lvl>
  </w:abstractNum>
  <w:abstractNum w:abstractNumId="75">
    <w:nsid w:val="6AA78F7F"/>
    <w:multiLevelType w:val="hybridMultilevel"/>
    <w:lvl w:ilvl="0">
      <w:lvlJc w:val="left"/>
      <w:lvlText w:val="(%1)"/>
      <w:numFmt w:val="lowerLetter"/>
      <w:start w:val="7"/>
    </w:lvl>
    <w:lvl w:ilvl="1">
      <w:lvlJc w:val="left"/>
      <w:lvlText w:val="%2"/>
      <w:numFmt w:val="lowerLetter"/>
      <w:start w:val="1"/>
    </w:lvl>
  </w:abstractNum>
  <w:abstractNum w:abstractNumId="76">
    <w:nsid w:val="7672BD23"/>
    <w:multiLevelType w:val="hybridMultilevel"/>
    <w:lvl w:ilvl="0">
      <w:lvlJc w:val="left"/>
      <w:lvlText w:val="%1"/>
      <w:numFmt w:val="upperLetter"/>
      <w:start w:val="1"/>
    </w:lvl>
    <w:lvl w:ilvl="1">
      <w:lvlJc w:val="left"/>
      <w:lvlText w:val="(%2)"/>
      <w:numFmt w:val="lowerLetter"/>
      <w:start w:val="28"/>
    </w:lvl>
  </w:abstractNum>
  <w:abstractNum w:abstractNumId="77">
    <w:nsid w:val="6FC75AF8"/>
    <w:multiLevelType w:val="hybridMultilevel"/>
    <w:lvl w:ilvl="0">
      <w:lvlJc w:val="left"/>
      <w:lvlText w:val="(%1)"/>
      <w:numFmt w:val="upperLetter"/>
      <w:start w:val="5"/>
    </w:lvl>
    <w:lvl w:ilvl="1">
      <w:lvlJc w:val="left"/>
      <w:lvlText w:val="(%2)"/>
      <w:numFmt w:val="lowerLetter"/>
      <w:start w:val="29"/>
    </w:lvl>
  </w:abstractNum>
  <w:abstractNum w:abstractNumId="78">
    <w:nsid w:val="6A5F7029"/>
    <w:multiLevelType w:val="hybridMultilevel"/>
    <w:lvl w:ilvl="0">
      <w:lvlJc w:val="left"/>
      <w:lvlText w:val="(%1)"/>
      <w:numFmt w:val="lowerLetter"/>
      <w:start w:val="33"/>
    </w:lvl>
    <w:lvl w:ilvl="1">
      <w:lvlJc w:val="left"/>
      <w:lvlText w:val="(%2)"/>
      <w:numFmt w:val="decimal"/>
      <w:start w:val="1"/>
    </w:lvl>
  </w:abstractNum>
  <w:abstractNum w:abstractNumId="79">
    <w:nsid w:val="7D5E18F8"/>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9"/>
    </w:lvl>
  </w:abstractNum>
  <w:abstractNum w:abstractNumId="80">
    <w:nsid w:val="5F3534A4"/>
    <w:multiLevelType w:val="hybridMultilevel"/>
    <w:lvl w:ilvl="0">
      <w:lvlJc w:val="left"/>
      <w:lvlText w:val="(%1)"/>
      <w:numFmt w:val="lowerLetter"/>
      <w:start w:val="37"/>
    </w:lvl>
    <w:lvl w:ilvl="1">
      <w:lvlJc w:val="left"/>
      <w:lvlText w:val="%2"/>
      <w:numFmt w:val="decimal"/>
      <w:start w:val="1"/>
    </w:lvl>
    <w:lvl w:ilvl="2">
      <w:lvlJc w:val="left"/>
      <w:lvlText w:val="%3"/>
      <w:numFmt w:val="lowerLetter"/>
      <w:start w:val="1"/>
    </w:lvl>
  </w:abstractNum>
  <w:abstractNum w:abstractNumId="81">
    <w:nsid w:val="73A1821B"/>
    <w:multiLevelType w:val="hybridMultilevel"/>
    <w:lvl w:ilvl="0">
      <w:lvlJc w:val="left"/>
      <w:lvlText w:val="(%1)"/>
      <w:numFmt w:val="lowerLetter"/>
      <w:start w:val="41"/>
    </w:lvl>
  </w:abstractNum>
  <w:abstractNum w:abstractNumId="82">
    <w:nsid w:val="7DE67713"/>
    <w:multiLevelType w:val="hybridMultilevel"/>
    <w:lvl w:ilvl="0">
      <w:lvlJc w:val="left"/>
      <w:lvlText w:val="%1."/>
      <w:numFmt w:val="decimal"/>
      <w:start w:val="2"/>
    </w:lvl>
    <w:lvl w:ilvl="1">
      <w:lvlJc w:val="left"/>
      <w:lvlText w:val="(%2)"/>
      <w:numFmt w:val="lowerLetter"/>
      <w:start w:val="1"/>
    </w:lvl>
  </w:abstractNum>
  <w:abstractNum w:abstractNumId="83">
    <w:nsid w:val="555C55B5"/>
    <w:multiLevelType w:val="hybridMultilevel"/>
    <w:lvl w:ilvl="0">
      <w:lvlJc w:val="left"/>
      <w:lvlText w:val="(%1)"/>
      <w:numFmt w:val="lowerLetter"/>
      <w:start w:val="4"/>
    </w:lvl>
  </w:abstractNum>
  <w:abstractNum w:abstractNumId="84">
    <w:nsid w:val="3FA62ACA"/>
    <w:multiLevelType w:val="hybridMultilevel"/>
    <w:lvl w:ilvl="0">
      <w:lvlJc w:val="left"/>
      <w:lvlText w:val="%1"/>
      <w:numFmt w:val="decimal"/>
      <w:start w:val="1"/>
    </w:lvl>
    <w:lvl w:ilvl="1">
      <w:lvlJc w:val="left"/>
      <w:lvlText w:val="(%2)"/>
      <w:numFmt w:val="lowerLetter"/>
      <w:start w:val="10"/>
    </w:lvl>
  </w:abstractNum>
  <w:abstractNum w:abstractNumId="85">
    <w:nsid w:val="14FCE74E"/>
    <w:multiLevelType w:val="hybridMultilevel"/>
    <w:lvl w:ilvl="0">
      <w:lvlJc w:val="left"/>
      <w:lvlText w:val="%1."/>
      <w:numFmt w:val="decimal"/>
      <w:start w:val="3"/>
    </w:lvl>
    <w:lvl w:ilvl="1">
      <w:lvlJc w:val="left"/>
      <w:lvlText w:val="%2"/>
      <w:numFmt w:val="lowerLetter"/>
      <w:start w:val="1"/>
    </w:lvl>
  </w:abstractNum>
  <w:abstractNum w:abstractNumId="86">
    <w:nsid w:val="6A3DD3E8"/>
    <w:multiLevelType w:val="hybridMultilevel"/>
    <w:lvl w:ilvl="0">
      <w:lvlJc w:val="left"/>
      <w:lvlText w:val="%1."/>
      <w:numFmt w:val="decimal"/>
      <w:start w:val="4"/>
    </w:lvl>
  </w:abstractNum>
  <w:abstractNum w:abstractNumId="87">
    <w:nsid w:val="71C91298"/>
    <w:multiLevelType w:val="hybridMultilevel"/>
    <w:lvl w:ilvl="0">
      <w:lvlJc w:val="left"/>
      <w:lvlText w:val="(%1)"/>
      <w:numFmt w:val="lowerLetter"/>
      <w:start w:val="2"/>
    </w:lvl>
  </w:abstractNum>
  <w:abstractNum w:abstractNumId="88">
    <w:nsid w:val="9DAF632"/>
    <w:multiLevelType w:val="hybridMultilevel"/>
    <w:lvl w:ilvl="0">
      <w:lvlJc w:val="left"/>
      <w:lvlText w:val="%1."/>
      <w:numFmt w:val="decimal"/>
      <w:start w:val="6"/>
    </w:lvl>
    <w:lvl w:ilvl="1">
      <w:lvlJc w:val="left"/>
      <w:lvlText w:val="(%2)"/>
      <w:numFmt w:val="lowerLetter"/>
      <w:start w:val="1"/>
    </w:lvl>
  </w:abstractNum>
  <w:abstractNum w:abstractNumId="89">
    <w:nsid w:val="53299938"/>
    <w:multiLevelType w:val="hybridMultilevel"/>
    <w:lvl w:ilvl="0">
      <w:lvlJc w:val="left"/>
      <w:lvlText w:val="(%1)"/>
      <w:numFmt w:val="lowerLetter"/>
      <w:start w:val="2"/>
    </w:lvl>
  </w:abstractNum>
  <w:abstractNum w:abstractNumId="90">
    <w:nsid w:val="1FBFE8E0"/>
    <w:multiLevelType w:val="hybridMultilevel"/>
    <w:lvl w:ilvl="0">
      <w:lvlJc w:val="left"/>
      <w:lvlText w:val="%1"/>
      <w:numFmt w:val="upperLetter"/>
      <w:start w:val="1"/>
    </w:lvl>
    <w:lvl w:ilvl="1">
      <w:lvlJc w:val="left"/>
      <w:lvlText w:val="(%2)"/>
      <w:numFmt w:val="lowerLetter"/>
      <w:start w:val="4"/>
    </w:lvl>
  </w:abstractNum>
  <w:abstractNum w:abstractNumId="91">
    <w:nsid w:val="5092CA79"/>
    <w:multiLevelType w:val="hybridMultilevel"/>
    <w:lvl w:ilvl="0">
      <w:lvlJc w:val="left"/>
      <w:lvlText w:val="%1"/>
      <w:numFmt w:val="decimal"/>
      <w:start w:val="1"/>
    </w:lvl>
    <w:lvl w:ilvl="1">
      <w:lvlJc w:val="left"/>
      <w:lvlText w:val="(%2)"/>
      <w:numFmt w:val="lowerLetter"/>
      <w:start w:val="6"/>
    </w:lvl>
  </w:abstractNum>
  <w:abstractNum w:abstractNumId="92">
    <w:nsid w:val="1D545C4D"/>
    <w:multiLevelType w:val="hybridMultilevel"/>
    <w:lvl w:ilvl="0">
      <w:lvlJc w:val="left"/>
      <w:lvlText w:val="%1."/>
      <w:numFmt w:val="decimal"/>
      <w:start w:val="7"/>
    </w:lvl>
    <w:lvl w:ilvl="1">
      <w:lvlJc w:val="left"/>
      <w:lvlText w:val="%2"/>
      <w:numFmt w:val="lowerLetter"/>
      <w:start w:val="1"/>
    </w:lvl>
  </w:abstractNum>
  <w:abstractNum w:abstractNumId="93">
    <w:nsid w:val="59ADEA3D"/>
    <w:multiLevelType w:val="hybridMultilevel"/>
    <w:lvl w:ilvl="0">
      <w:lvlJc w:val="left"/>
      <w:lvlText w:val="(%1)"/>
      <w:numFmt w:val="lowerLetter"/>
      <w:start w:val="2"/>
    </w:lvl>
  </w:abstractNum>
  <w:abstractNum w:abstractNumId="94">
    <w:nsid w:val="288F1A34"/>
    <w:multiLevelType w:val="hybridMultilevel"/>
    <w:lvl w:ilvl="0">
      <w:lvlJc w:val="left"/>
      <w:lvlText w:val="%1."/>
      <w:numFmt w:val="decimal"/>
      <w:start w:val="8"/>
    </w:lvl>
  </w:abstractNum>
  <w:abstractNum w:abstractNumId="95">
    <w:nsid w:val="2A155DBC"/>
    <w:multiLevelType w:val="hybridMultilevel"/>
    <w:lvl w:ilvl="0">
      <w:lvlJc w:val="left"/>
      <w:lvlText w:val="%1."/>
      <w:numFmt w:val="decimal"/>
      <w:start w:val="9"/>
    </w:lvl>
    <w:lvl w:ilvl="1">
      <w:lvlJc w:val="left"/>
      <w:lvlText w:val="(%2)"/>
      <w:numFmt w:val="lowerLetter"/>
      <w:start w:val="1"/>
    </w:lvl>
  </w:abstractNum>
  <w:abstractNum w:abstractNumId="96">
    <w:nsid w:val="1D9F6E5F"/>
    <w:multiLevelType w:val="hybridMultilevel"/>
    <w:lvl w:ilvl="0">
      <w:lvlJc w:val="left"/>
      <w:lvlText w:val="(%1)"/>
      <w:numFmt w:val="lowerLetter"/>
      <w:start w:val="4"/>
    </w:lvl>
  </w:abstractNum>
  <w:abstractNum w:abstractNumId="97">
    <w:nsid w:val="97E1B4E"/>
    <w:multiLevelType w:val="hybridMultilevel"/>
    <w:lvl w:ilvl="0">
      <w:lvlJc w:val="left"/>
      <w:lvlText w:val="(%1)"/>
      <w:numFmt w:val="lowerLetter"/>
      <w:start w:val="10"/>
    </w:lvl>
  </w:abstractNum>
  <w:abstractNum w:abstractNumId="98">
    <w:nsid w:val="51088277"/>
    <w:multiLevelType w:val="hybridMultilevel"/>
    <w:lvl w:ilvl="0">
      <w:lvlJc w:val="left"/>
      <w:lvlText w:val="%1."/>
      <w:numFmt w:val="decimal"/>
      <w:start w:val="10"/>
    </w:lvl>
    <w:lvl w:ilvl="1">
      <w:lvlJc w:val="left"/>
      <w:lvlText w:val="(%2)"/>
      <w:numFmt w:val="lowerLetter"/>
      <w:start w:val="1"/>
    </w:lvl>
  </w:abstractNum>
  <w:abstractNum w:abstractNumId="99">
    <w:nsid w:val="1CA0C5FA"/>
    <w:multiLevelType w:val="hybridMultilevel"/>
    <w:lvl w:ilvl="0">
      <w:lvlJc w:val="left"/>
      <w:lvlText w:val="(%1)"/>
      <w:numFmt w:val="lowerLetter"/>
      <w:start w:val="3"/>
    </w:lvl>
  </w:abstractNum>
  <w:abstractNum w:abstractNumId="100">
    <w:nsid w:val="53584BCB"/>
    <w:multiLevelType w:val="hybridMultilevel"/>
    <w:lvl w:ilvl="0">
      <w:lvlJc w:val="left"/>
      <w:lvlText w:val="(%1)"/>
      <w:numFmt w:val="lowerLetter"/>
      <w:start w:val="5"/>
    </w:lvl>
  </w:abstractNum>
  <w:abstractNum w:abstractNumId="101">
    <w:nsid w:val="415E286C"/>
    <w:multiLevelType w:val="hybridMultilevel"/>
    <w:lvl w:ilvl="0">
      <w:lvlJc w:val="left"/>
      <w:lvlText w:val="(%1)"/>
      <w:numFmt w:val="lowerLetter"/>
      <w:start w:val="5"/>
    </w:lvl>
    <w:lvl w:ilvl="1">
      <w:lvlJc w:val="left"/>
      <w:lvlText w:val="%2."/>
      <w:numFmt w:val="decimal"/>
      <w:start w:val="10"/>
    </w:lvl>
    <w:lvl w:ilvl="2">
      <w:lvlJc w:val="left"/>
      <w:lvlText w:val="(%3)"/>
      <w:numFmt w:val="lowerLetter"/>
      <w:start w:val="6"/>
    </w:lvl>
  </w:abstractNum>
  <w:abstractNum w:abstractNumId="102">
    <w:nsid w:val="7C58FD05"/>
    <w:multiLevelType w:val="hybridMultilevel"/>
    <w:lvl w:ilvl="0">
      <w:lvlJc w:val="left"/>
      <w:lvlText w:val="(%1)"/>
      <w:numFmt w:val="lowerLetter"/>
      <w:start w:val="2"/>
    </w:lvl>
  </w:abstractNum>
  <w:abstractNum w:abstractNumId="103">
    <w:nsid w:val="23D86AAC"/>
    <w:multiLevelType w:val="hybridMultilevel"/>
    <w:lvl w:ilvl="0">
      <w:lvlJc w:val="left"/>
      <w:lvlText w:val="%1."/>
      <w:numFmt w:val="decimal"/>
      <w:start w:val="12"/>
    </w:lvl>
  </w:abstractNum>
  <w:abstractNum w:abstractNumId="104">
    <w:nsid w:val="45E6D486"/>
    <w:multiLevelType w:val="hybridMultilevel"/>
    <w:lvl w:ilvl="0">
      <w:lvlJc w:val="left"/>
      <w:lvlText w:val="%1"/>
      <w:numFmt w:val="lowerLetter"/>
      <w:start w:val="1"/>
    </w:lvl>
    <w:lvl w:ilvl="1">
      <w:lvlJc w:val="left"/>
      <w:lvlText w:val="%2."/>
      <w:numFmt w:val="decimal"/>
      <w:start w:val="15"/>
    </w:lvl>
    <w:lvl w:ilvl="2">
      <w:lvlJc w:val="left"/>
      <w:lvlText w:val="(%3)"/>
      <w:numFmt w:val="lowerLetter"/>
      <w:start w:val="2"/>
    </w:lvl>
  </w:abstractNum>
  <w:abstractNum w:abstractNumId="105">
    <w:nsid w:val="5C10FE21"/>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106">
    <w:nsid w:val="E7FFA2B"/>
    <w:multiLevelType w:val="hybridMultilevel"/>
    <w:lvl w:ilvl="0">
      <w:lvlJc w:val="left"/>
      <w:lvlText w:val="%1."/>
      <w:numFmt w:val="decimal"/>
      <w:start w:val="16"/>
    </w:lvl>
  </w:abstractNum>
  <w:abstractNum w:abstractNumId="107">
    <w:nsid w:val="3C5991AA"/>
    <w:multiLevelType w:val="hybridMultilevel"/>
    <w:lvl w:ilvl="0">
      <w:lvlJc w:val="left"/>
      <w:lvlText w:val="%1."/>
      <w:numFmt w:val="decimal"/>
      <w:start w:val="19"/>
    </w:lvl>
  </w:abstractNum>
  <w:abstractNum w:abstractNumId="108">
    <w:nsid w:val="4BD8591A"/>
    <w:multiLevelType w:val="hybridMultilevel"/>
    <w:lvl w:ilvl="0">
      <w:lvlJc w:val="left"/>
      <w:lvlText w:val="%1."/>
      <w:numFmt w:val="decimal"/>
      <w:start w:val="21"/>
    </w:lvl>
  </w:abstractNum>
  <w:abstractNum w:abstractNumId="109">
    <w:nsid w:val="78DF6A55"/>
    <w:multiLevelType w:val="hybridMultilevel"/>
    <w:lvl w:ilvl="0">
      <w:lvlJc w:val="left"/>
      <w:lvlText w:val="%1."/>
      <w:numFmt w:val="decimal"/>
      <w:start w:val="26"/>
    </w:lvl>
  </w:abstractNum>
  <w:abstractNum w:abstractNumId="110">
    <w:nsid w:val="39B7AAA2"/>
    <w:multiLevelType w:val="hybridMultilevel"/>
    <w:lvl w:ilvl="0">
      <w:lvlJc w:val="left"/>
      <w:lvlText w:val=" "/>
      <w:numFmt w:val="bullet"/>
      <w:start w:val="1"/>
    </w:lvl>
  </w:abstractNum>
  <w:abstractNum w:abstractNumId="111">
    <w:nsid w:val="2B0D8DBE"/>
    <w:multiLevelType w:val="hybridMultilevel"/>
    <w:lvl w:ilvl="0">
      <w:lvlJc w:val="left"/>
      <w:lvlText w:val="•"/>
      <w:numFmt w:val="bullet"/>
      <w:start w:val="1"/>
    </w:lvl>
  </w:abstractNum>
  <w:abstractNum w:abstractNumId="112">
    <w:nsid w:val="6C80EC70"/>
    <w:multiLevelType w:val="hybridMultilevel"/>
    <w:lvl w:ilvl="0">
      <w:lvlJc w:val="left"/>
      <w:lvlText w:val=" "/>
      <w:numFmt w:val="bullet"/>
      <w:start w:val="1"/>
    </w:lvl>
  </w:abstractNum>
  <w:abstractNum w:abstractNumId="113">
    <w:nsid w:val="379E21B5"/>
    <w:multiLevelType w:val="hybridMultilevel"/>
    <w:lvl w:ilvl="0">
      <w:lvlJc w:val="left"/>
      <w:lvlText w:val="(%1)"/>
      <w:numFmt w:val="lowerLetter"/>
      <w:start w:val="1"/>
    </w:lvl>
  </w:abstractNum>
  <w:abstractNum w:abstractNumId="114">
    <w:nsid w:val="69E373"/>
    <w:multiLevelType w:val="hybridMultilevel"/>
    <w:lvl w:ilvl="0">
      <w:lvlJc w:val="left"/>
      <w:lvlText w:val="(%1)"/>
      <w:numFmt w:val="lowerLetter"/>
      <w:start w:val="3"/>
    </w:lvl>
  </w:abstractNum>
  <w:abstractNum w:abstractNumId="115">
    <w:nsid w:val="2C27173B"/>
    <w:multiLevelType w:val="hybridMultilevel"/>
    <w:lvl w:ilvl="0">
      <w:lvlJc w:val="left"/>
      <w:lvlText w:val="(%1)"/>
      <w:numFmt w:val="lowerLetter"/>
      <w:start w:val="5"/>
    </w:lvl>
  </w:abstractNum>
  <w:abstractNum w:abstractNumId="116">
    <w:nsid w:val="4C9B0904"/>
    <w:multiLevelType w:val="hybridMultilevel"/>
    <w:lvl w:ilvl="0">
      <w:lvlJc w:val="left"/>
      <w:lvlText w:val="(%1)"/>
      <w:numFmt w:val="lowerRoman"/>
      <w:start w:val="1"/>
    </w:lvl>
  </w:abstractNum>
  <w:abstractNum w:abstractNumId="117">
    <w:nsid w:val="6AA7B75C"/>
    <w:multiLevelType w:val="hybridMultilevel"/>
    <w:lvl w:ilvl="0">
      <w:lvlJc w:val="left"/>
      <w:lvlText w:val="(%1)"/>
      <w:numFmt w:val="lowerRoman"/>
      <w:start w:val="3"/>
    </w:lvl>
  </w:abstractNum>
  <w:abstractNum w:abstractNumId="118">
    <w:nsid w:val="1DF029D3"/>
    <w:multiLevelType w:val="hybridMultilevel"/>
    <w:lvl w:ilvl="0">
      <w:lvlJc w:val="left"/>
      <w:lvlText w:val="(%1)"/>
      <w:numFmt w:val="lowerRoman"/>
      <w:start w:val="11"/>
    </w:lvl>
  </w:abstractNum>
  <w:abstractNum w:abstractNumId="119">
    <w:nsid w:val="5675FF36"/>
    <w:multiLevelType w:val="hybridMultilevel"/>
    <w:lvl w:ilvl="0">
      <w:lvlJc w:val="left"/>
      <w:lvlText w:val="(%1)"/>
      <w:numFmt w:val="lowerRoman"/>
      <w:start w:val="16"/>
    </w:lvl>
    <w:lvl w:ilvl="1">
      <w:lvlJc w:val="left"/>
      <w:lvlText w:val="(%2)"/>
      <w:numFmt w:val="decimal"/>
      <w:start w:val="1"/>
    </w:lvl>
  </w:abstractNum>
  <w:abstractNum w:abstractNumId="120">
    <w:nsid w:val="3DD15094"/>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5"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41" Type="http://schemas.openxmlformats.org/officeDocument/2006/relationships/image" Target="media/image131.png"/><Relationship Id="rId153" Type="http://schemas.openxmlformats.org/officeDocument/2006/relationships/image" Target="media/image132.png"/><Relationship Id="rId154" Type="http://schemas.openxmlformats.org/officeDocument/2006/relationships/image" Target="media/image133.png"/><Relationship Id="rId169" Type="http://schemas.openxmlformats.org/officeDocument/2006/relationships/image" Target="media/image134.png"/><Relationship Id="rId170" Type="http://schemas.openxmlformats.org/officeDocument/2006/relationships/image" Target="media/image135.png"/><Relationship Id="rId181" Type="http://schemas.openxmlformats.org/officeDocument/2006/relationships/image" Target="media/image136.png"/><Relationship Id="rId182" Type="http://schemas.openxmlformats.org/officeDocument/2006/relationships/image" Target="media/image137.png"/><Relationship Id="rId194" Type="http://schemas.openxmlformats.org/officeDocument/2006/relationships/image" Target="media/image138.png"/><Relationship Id="rId195" Type="http://schemas.openxmlformats.org/officeDocument/2006/relationships/image" Target="media/image139.png"/><Relationship Id="rId205" Type="http://schemas.openxmlformats.org/officeDocument/2006/relationships/image" Target="media/image140.png"/><Relationship Id="rId206" Type="http://schemas.openxmlformats.org/officeDocument/2006/relationships/image" Target="media/image141.png"/><Relationship Id="rId207" Type="http://schemas.openxmlformats.org/officeDocument/2006/relationships/image" Target="media/image142.png"/><Relationship Id="rId208" Type="http://schemas.openxmlformats.org/officeDocument/2006/relationships/image" Target="media/image143.png"/><Relationship Id="rId209" Type="http://schemas.openxmlformats.org/officeDocument/2006/relationships/image" Target="media/image144.png"/><Relationship Id="rId210" Type="http://schemas.openxmlformats.org/officeDocument/2006/relationships/image" Target="media/image145.png"/><Relationship Id="rId211" Type="http://schemas.openxmlformats.org/officeDocument/2006/relationships/image" Target="media/image146.png"/><Relationship Id="rId212" Type="http://schemas.openxmlformats.org/officeDocument/2006/relationships/image" Target="media/image147.png"/><Relationship Id="rId213" Type="http://schemas.openxmlformats.org/officeDocument/2006/relationships/image" Target="media/image148.png"/><Relationship Id="rId214" Type="http://schemas.openxmlformats.org/officeDocument/2006/relationships/image" Target="media/image149.png"/><Relationship Id="rId215" Type="http://schemas.openxmlformats.org/officeDocument/2006/relationships/image" Target="media/image150.png"/><Relationship Id="rId216" Type="http://schemas.openxmlformats.org/officeDocument/2006/relationships/image" Target="media/image151.png"/><Relationship Id="rId217" Type="http://schemas.openxmlformats.org/officeDocument/2006/relationships/image" Target="media/image152.png"/><Relationship Id="rId218" Type="http://schemas.openxmlformats.org/officeDocument/2006/relationships/image" Target="media/image153.png"/><Relationship Id="rId219" Type="http://schemas.openxmlformats.org/officeDocument/2006/relationships/image" Target="media/image154.png"/><Relationship Id="rId220" Type="http://schemas.openxmlformats.org/officeDocument/2006/relationships/image" Target="media/image155.png"/><Relationship Id="rId221" Type="http://schemas.openxmlformats.org/officeDocument/2006/relationships/image" Target="media/image156.png"/><Relationship Id="rId222" Type="http://schemas.openxmlformats.org/officeDocument/2006/relationships/image" Target="media/image157.png"/><Relationship Id="rId223" Type="http://schemas.openxmlformats.org/officeDocument/2006/relationships/image" Target="media/image158.png"/><Relationship Id="rId224" Type="http://schemas.openxmlformats.org/officeDocument/2006/relationships/image" Target="media/image159.png"/><Relationship Id="rId225" Type="http://schemas.openxmlformats.org/officeDocument/2006/relationships/image" Target="media/image160.png"/><Relationship Id="rId226" Type="http://schemas.openxmlformats.org/officeDocument/2006/relationships/image" Target="media/image161.png"/><Relationship Id="rId227" Type="http://schemas.openxmlformats.org/officeDocument/2006/relationships/image" Target="media/image162.png"/><Relationship Id="rId228" Type="http://schemas.openxmlformats.org/officeDocument/2006/relationships/image" Target="media/image163.png"/><Relationship Id="rId229" Type="http://schemas.openxmlformats.org/officeDocument/2006/relationships/image" Target="media/image164.png"/><Relationship Id="rId230" Type="http://schemas.openxmlformats.org/officeDocument/2006/relationships/image" Target="media/image165.png"/><Relationship Id="rId231" Type="http://schemas.openxmlformats.org/officeDocument/2006/relationships/image" Target="media/image166.png"/><Relationship Id="rId232" Type="http://schemas.openxmlformats.org/officeDocument/2006/relationships/image" Target="media/image167.png"/><Relationship Id="rId233" Type="http://schemas.openxmlformats.org/officeDocument/2006/relationships/image" Target="media/image168.png"/><Relationship Id="rId234" Type="http://schemas.openxmlformats.org/officeDocument/2006/relationships/image" Target="media/image169.png"/><Relationship Id="rId235" Type="http://schemas.openxmlformats.org/officeDocument/2006/relationships/image" Target="media/image170.png"/><Relationship Id="rId236" Type="http://schemas.openxmlformats.org/officeDocument/2006/relationships/image" Target="media/image171.png"/><Relationship Id="rId237" Type="http://schemas.openxmlformats.org/officeDocument/2006/relationships/image" Target="media/image172.png"/><Relationship Id="rId238" Type="http://schemas.openxmlformats.org/officeDocument/2006/relationships/image" Target="media/image173.png"/><Relationship Id="rId239" Type="http://schemas.openxmlformats.org/officeDocument/2006/relationships/image" Target="media/image174.png"/><Relationship Id="rId240" Type="http://schemas.openxmlformats.org/officeDocument/2006/relationships/image" Target="media/image175.png"/><Relationship Id="rId241" Type="http://schemas.openxmlformats.org/officeDocument/2006/relationships/image" Target="media/image176.png"/><Relationship Id="rId242" Type="http://schemas.openxmlformats.org/officeDocument/2006/relationships/image" Target="media/image177.png"/><Relationship Id="rId243" Type="http://schemas.openxmlformats.org/officeDocument/2006/relationships/image" Target="media/image178.png"/><Relationship Id="rId244" Type="http://schemas.openxmlformats.org/officeDocument/2006/relationships/image" Target="media/image179.png"/><Relationship Id="rId245" Type="http://schemas.openxmlformats.org/officeDocument/2006/relationships/image" Target="media/image180.png"/><Relationship Id="rId246" Type="http://schemas.openxmlformats.org/officeDocument/2006/relationships/image" Target="media/image181.png"/><Relationship Id="rId247" Type="http://schemas.openxmlformats.org/officeDocument/2006/relationships/image" Target="media/image182.png"/><Relationship Id="rId248" Type="http://schemas.openxmlformats.org/officeDocument/2006/relationships/image" Target="media/image183.png"/><Relationship Id="rId249" Type="http://schemas.openxmlformats.org/officeDocument/2006/relationships/image" Target="media/image184.png"/><Relationship Id="rId250" Type="http://schemas.openxmlformats.org/officeDocument/2006/relationships/image" Target="media/image185.png"/><Relationship Id="rId251" Type="http://schemas.openxmlformats.org/officeDocument/2006/relationships/image" Target="media/image186.png"/><Relationship Id="rId252" Type="http://schemas.openxmlformats.org/officeDocument/2006/relationships/image" Target="media/image187.png"/><Relationship Id="rId253" Type="http://schemas.openxmlformats.org/officeDocument/2006/relationships/image" Target="media/image188.png"/><Relationship Id="rId254" Type="http://schemas.openxmlformats.org/officeDocument/2006/relationships/image" Target="media/image189.png"/><Relationship Id="rId255" Type="http://schemas.openxmlformats.org/officeDocument/2006/relationships/image" Target="media/image190.png"/><Relationship Id="rId256" Type="http://schemas.openxmlformats.org/officeDocument/2006/relationships/image" Target="media/image191.png"/><Relationship Id="rId257" Type="http://schemas.openxmlformats.org/officeDocument/2006/relationships/image" Target="media/image192.png"/><Relationship Id="rId258" Type="http://schemas.openxmlformats.org/officeDocument/2006/relationships/image" Target="media/image193.png"/><Relationship Id="rId259" Type="http://schemas.openxmlformats.org/officeDocument/2006/relationships/image" Target="media/image194.png"/><Relationship Id="rId260" Type="http://schemas.openxmlformats.org/officeDocument/2006/relationships/image" Target="media/image195.png"/><Relationship Id="rId261" Type="http://schemas.openxmlformats.org/officeDocument/2006/relationships/image" Target="media/image196.png"/><Relationship Id="rId262" Type="http://schemas.openxmlformats.org/officeDocument/2006/relationships/image" Target="media/image197.png"/><Relationship Id="rId263" Type="http://schemas.openxmlformats.org/officeDocument/2006/relationships/image" Target="media/image198.png"/><Relationship Id="rId264" Type="http://schemas.openxmlformats.org/officeDocument/2006/relationships/image" Target="media/image199.png"/><Relationship Id="rId265" Type="http://schemas.openxmlformats.org/officeDocument/2006/relationships/image" Target="media/image200.png"/><Relationship Id="rId266" Type="http://schemas.openxmlformats.org/officeDocument/2006/relationships/image" Target="media/image201.png"/><Relationship Id="rId267" Type="http://schemas.openxmlformats.org/officeDocument/2006/relationships/image" Target="media/image202.png"/><Relationship Id="rId268" Type="http://schemas.openxmlformats.org/officeDocument/2006/relationships/image" Target="media/image203.png"/><Relationship Id="rId269" Type="http://schemas.openxmlformats.org/officeDocument/2006/relationships/image" Target="media/image204.png"/><Relationship Id="rId270" Type="http://schemas.openxmlformats.org/officeDocument/2006/relationships/image" Target="media/image205.png"/><Relationship Id="rId271" Type="http://schemas.openxmlformats.org/officeDocument/2006/relationships/image" Target="media/image206.png"/><Relationship Id="rId272" Type="http://schemas.openxmlformats.org/officeDocument/2006/relationships/image" Target="media/image207.png"/><Relationship Id="rId273" Type="http://schemas.openxmlformats.org/officeDocument/2006/relationships/image" Target="media/image208.png"/><Relationship Id="rId274" Type="http://schemas.openxmlformats.org/officeDocument/2006/relationships/image" Target="media/image209.png"/><Relationship Id="rId275" Type="http://schemas.openxmlformats.org/officeDocument/2006/relationships/image" Target="media/image210.png"/><Relationship Id="rId276" Type="http://schemas.openxmlformats.org/officeDocument/2006/relationships/image" Target="media/image211.png"/><Relationship Id="rId277" Type="http://schemas.openxmlformats.org/officeDocument/2006/relationships/image" Target="media/image212.png"/><Relationship Id="rId278" Type="http://schemas.openxmlformats.org/officeDocument/2006/relationships/image" Target="media/image213.png"/><Relationship Id="rId279" Type="http://schemas.openxmlformats.org/officeDocument/2006/relationships/image" Target="media/image214.png"/><Relationship Id="rId280" Type="http://schemas.openxmlformats.org/officeDocument/2006/relationships/image" Target="media/image215.png"/><Relationship Id="rId133" Type="http://schemas.openxmlformats.org/officeDocument/2006/relationships/hyperlink" Target="http://www.sec.gov/ix?doc=/Archives/edgar/data/2046386/000204638626000009/mdln-20251231.htm" TargetMode="External"/><Relationship Id="rId134" Type="http://schemas.openxmlformats.org/officeDocument/2006/relationships/hyperlink" Target="http://www.sec.gov/ix?doc=/Archives/edgar/data/2046386/000110465926047092/tm263945-7_def14a.htm" TargetMode="External"/><Relationship Id="rId136" Type="http://schemas.openxmlformats.org/officeDocument/2006/relationships/hyperlink" Target="http://www.sec.gov/ix?doc=/Archives/edgar/data/2046386/000204638626000026/mdln-20260328.htm" TargetMode="External"/><Relationship Id="rId142" Type="http://schemas.openxmlformats.org/officeDocument/2006/relationships/hyperlink" Target="http://www.sec.gov/Archives/edgar/data/2046386/000119312525328884/d933672dex31.htm" TargetMode="External"/><Relationship Id="rId143" Type="http://schemas.openxmlformats.org/officeDocument/2006/relationships/hyperlink" Target="http://www.sec.gov/Archives/edgar/data/2046386/000119312525328884/d933672dex32.htm" TargetMode="External"/><Relationship Id="rId144" Type="http://schemas.openxmlformats.org/officeDocument/2006/relationships/hyperlink" Target="http://www.sec.gov/Archives/edgar/data/2046386/000119312525253020/d932091dex41.htm" TargetMode="External"/><Relationship Id="rId145" Type="http://schemas.openxmlformats.org/officeDocument/2006/relationships/hyperlink" Target="http://www.sec.gov/Archives/edgar/data/2046386/000119312525253020/d932091dex42.htm" TargetMode="External"/><Relationship Id="rId146" Type="http://schemas.openxmlformats.org/officeDocument/2006/relationships/hyperlink" Target="http://www.sec.gov/Archives/edgar/data/2046386/000119312525253020/d932091dex43.htm" TargetMode="External"/><Relationship Id="rId147" Type="http://schemas.openxmlformats.org/officeDocument/2006/relationships/hyperlink" Target="http://www.sec.gov/Archives/edgar/data/2046386/000119312525253020/d932091dex44.htm" TargetMode="External"/><Relationship Id="rId148" Type="http://schemas.openxmlformats.org/officeDocument/2006/relationships/hyperlink" Target="http://www.sec.gov/Archives/edgar/data/2046386/000119312525253020/d932091dex45.htm" TargetMode="External"/><Relationship Id="rId149" Type="http://schemas.openxmlformats.org/officeDocument/2006/relationships/hyperlink" Target="http://www.sec.gov/Archives/edgar/data/2046386/000119312525253020/d932091dex46.htm" TargetMode="External"/><Relationship Id="rId150" Type="http://schemas.openxmlformats.org/officeDocument/2006/relationships/hyperlink" Target="http://www.sec.gov/Archives/edgar/data/2046386/000119312525253020/d932091dex47.htm" TargetMode="External"/><Relationship Id="rId151" Type="http://schemas.openxmlformats.org/officeDocument/2006/relationships/hyperlink" Target="http://www.sec.gov/Archives/edgar/data/2046386/000119312525253020/d932091dex48.htm" TargetMode="External"/><Relationship Id="rId152" Type="http://schemas.openxmlformats.org/officeDocument/2006/relationships/hyperlink" Target="http://www.sec.gov/Archives/edgar/data/2046386/000119312525253020/d932091dex49.htm" TargetMode="External"/><Relationship Id="rId155" Type="http://schemas.openxmlformats.org/officeDocument/2006/relationships/hyperlink" Target="http://www.sec.gov/Archives/edgar/data/2046386/000119312525253020/d932091dex410.htm" TargetMode="External"/><Relationship Id="rId156" Type="http://schemas.openxmlformats.org/officeDocument/2006/relationships/hyperlink" Target="http://www.sec.gov/Archives/edgar/data/2046386/000119312525253020/d932091dex411.htm" TargetMode="External"/><Relationship Id="rId157" Type="http://schemas.openxmlformats.org/officeDocument/2006/relationships/hyperlink" Target="http://www.sec.gov/Archives/edgar/data/2046386/000119312525253020/d932091dex412.htm" TargetMode="External"/><Relationship Id="rId158" Type="http://schemas.openxmlformats.org/officeDocument/2006/relationships/hyperlink" Target="http://www.sec.gov/Archives/edgar/data/2046386/000119312525328884/d933672dex101.htm" TargetMode="External"/><Relationship Id="rId159" Type="http://schemas.openxmlformats.org/officeDocument/2006/relationships/hyperlink" Target="http://www.sec.gov/Archives/edgar/data/2046386/000119312525328884/d933672dex102.htm" TargetMode="External"/><Relationship Id="rId160" Type="http://schemas.openxmlformats.org/officeDocument/2006/relationships/hyperlink" Target="http://www.sec.gov/Archives/edgar/data/2046386/000119312525328884/d933672dex103.htm" TargetMode="External"/><Relationship Id="rId161" Type="http://schemas.openxmlformats.org/officeDocument/2006/relationships/hyperlink" Target="http://www.sec.gov/Archives/edgar/data/2046386/000119312525328884/d933672dex104.htm" TargetMode="External"/><Relationship Id="rId162" Type="http://schemas.openxmlformats.org/officeDocument/2006/relationships/hyperlink" Target="http://www.sec.gov/Archives/edgar/data/2046386/000119312525328884/d933672dex1051.htm" TargetMode="External"/><Relationship Id="rId163" Type="http://schemas.openxmlformats.org/officeDocument/2006/relationships/hyperlink" Target="http://www.sec.gov/Archives/edgar/data/2046386/000119312525328884/d933672dex1052.htm" TargetMode="External"/><Relationship Id="rId164" Type="http://schemas.openxmlformats.org/officeDocument/2006/relationships/hyperlink" Target="http://www.sec.gov/Archives/edgar/data/2046386/000119312525328884/d933672dex1053.htm" TargetMode="External"/><Relationship Id="rId165" Type="http://schemas.openxmlformats.org/officeDocument/2006/relationships/hyperlink" Target="http://www.sec.gov/Archives/edgar/data/2046386/000119312525328884/d933672dex1054.htm" TargetMode="External"/><Relationship Id="rId166" Type="http://schemas.openxmlformats.org/officeDocument/2006/relationships/hyperlink" Target="http://www.sec.gov/Archives/edgar/data/2046386/000119312525253020/d932091dex106.htm" TargetMode="External"/><Relationship Id="rId167" Type="http://schemas.openxmlformats.org/officeDocument/2006/relationships/hyperlink" Target="http://www.sec.gov/Archives/edgar/data/2046386/000119312525253020/d932091dex107.htm" TargetMode="External"/><Relationship Id="rId168" Type="http://schemas.openxmlformats.org/officeDocument/2006/relationships/hyperlink" Target="http://www.sec.gov/Archives/edgar/data/2046386/000119312525253020/d932091dex108.htm" TargetMode="External"/><Relationship Id="rId171" Type="http://schemas.openxmlformats.org/officeDocument/2006/relationships/hyperlink" Target="http://www.sec.gov/Archives/edgar/data/2046386/000119312525253020/d932091dex109.htm" TargetMode="External"/><Relationship Id="rId172" Type="http://schemas.openxmlformats.org/officeDocument/2006/relationships/hyperlink" Target="http://www.sec.gov/Archives/edgar/data/2046386/000119312525253020/d932091dex1010.htm" TargetMode="External"/><Relationship Id="rId173" Type="http://schemas.openxmlformats.org/officeDocument/2006/relationships/hyperlink" Target="http://www.sec.gov/Archives/edgar/data/2046386/000119312525321135/d76744dex43.htm" TargetMode="External"/><Relationship Id="rId174" Type="http://schemas.openxmlformats.org/officeDocument/2006/relationships/hyperlink" Target="http://www.sec.gov/Archives/edgar/data/2046386/000119312525253020/d932091dex1012.htm" TargetMode="External"/><Relationship Id="rId175" Type="http://schemas.openxmlformats.org/officeDocument/2006/relationships/hyperlink" Target="http://www.sec.gov/Archives/edgar/data/2046386/000119312525253020/d932091dex1013.htm" TargetMode="External"/><Relationship Id="rId176" Type="http://schemas.openxmlformats.org/officeDocument/2006/relationships/hyperlink" Target="http://www.sec.gov/Archives/edgar/data/2046386/000119312525253020/d932091dex1014.htm" TargetMode="External"/><Relationship Id="rId177" Type="http://schemas.openxmlformats.org/officeDocument/2006/relationships/hyperlink" Target="http://www.sec.gov/Archives/edgar/data/2046386/000119312525253020/d932091dex1015.htm" TargetMode="External"/><Relationship Id="rId178" Type="http://schemas.openxmlformats.org/officeDocument/2006/relationships/hyperlink" Target="http://www.sec.gov/Archives/edgar/data/2046386/000119312525253020/d932091dex1016.htm" TargetMode="External"/><Relationship Id="rId179" Type="http://schemas.openxmlformats.org/officeDocument/2006/relationships/hyperlink" Target="http://www.sec.gov/Archives/edgar/data/2046386/000119312525253020/d932091dex1017.htm" TargetMode="External"/><Relationship Id="rId180" Type="http://schemas.openxmlformats.org/officeDocument/2006/relationships/hyperlink" Target="http://www.sec.gov/Archives/edgar/data/2046386/000119312525253020/d932091dex1018.htm" TargetMode="External"/><Relationship Id="rId183" Type="http://schemas.openxmlformats.org/officeDocument/2006/relationships/hyperlink" Target="http://www.sec.gov/Archives/edgar/data/2046386/000119312525253020/d932091dex1019.htm" TargetMode="External"/><Relationship Id="rId184" Type="http://schemas.openxmlformats.org/officeDocument/2006/relationships/hyperlink" Target="http://www.sec.gov/Archives/edgar/data/2046386/000119312525253020/d932091dex1020.htm" TargetMode="External"/><Relationship Id="rId185" Type="http://schemas.openxmlformats.org/officeDocument/2006/relationships/hyperlink" Target="http://www.sec.gov/Archives/edgar/data/2046386/000119312525253020/d932091dex1021.htm" TargetMode="External"/><Relationship Id="rId186" Type="http://schemas.openxmlformats.org/officeDocument/2006/relationships/hyperlink" Target="http://www.sec.gov/Archives/edgar/data/2046386/000119312525253020/d932091dex1022.htm" TargetMode="External"/><Relationship Id="rId187" Type="http://schemas.openxmlformats.org/officeDocument/2006/relationships/hyperlink" Target="http://www.sec.gov/Archives/edgar/data/2046386/000119312525253020/d932091dex1023.htm" TargetMode="External"/><Relationship Id="rId188" Type="http://schemas.openxmlformats.org/officeDocument/2006/relationships/hyperlink" Target="http://www.sec.gov/Archives/edgar/data/2046386/000119312525253020/d932091dex1024.htm" TargetMode="External"/><Relationship Id="rId189" Type="http://schemas.openxmlformats.org/officeDocument/2006/relationships/hyperlink" Target="http://www.sec.gov/Archives/edgar/data/2046386/000119312525253020/d932091dex1025.htm" TargetMode="External"/><Relationship Id="rId190" Type="http://schemas.openxmlformats.org/officeDocument/2006/relationships/hyperlink" Target="http://www.sec.gov/Archives/edgar/data/2046386/000119312525253020/d932091dex1026.htm" TargetMode="External"/><Relationship Id="rId191" Type="http://schemas.openxmlformats.org/officeDocument/2006/relationships/hyperlink" Target="http://www.sec.gov/Archives/edgar/data/2046386/000119312525253020/d932091dex1027.htm" TargetMode="External"/><Relationship Id="rId192" Type="http://schemas.openxmlformats.org/officeDocument/2006/relationships/hyperlink" Target="http://www.sec.gov/Archives/edgar/data/2046386/000119312525253020/d932091dex1028.htm" TargetMode="External"/><Relationship Id="rId193" Type="http://schemas.openxmlformats.org/officeDocument/2006/relationships/hyperlink" Target="http://www.sec.gov/Archives/edgar/data/2046386/000119312525321135/d76744dex44.htm" TargetMode="External"/><Relationship Id="rId196" Type="http://schemas.openxmlformats.org/officeDocument/2006/relationships/hyperlink" Target="http://www.sec.gov/Archives/edgar/data/2046386/000204638626000009/ex1030arexecutiveseverance.htm" TargetMode="External"/><Relationship Id="rId197" Type="http://schemas.openxmlformats.org/officeDocument/2006/relationships/hyperlink" Target="http://www.sec.gov/Archives/edgar/data/2046386/000119312525253020/d932091dex1031.htm" TargetMode="External"/><Relationship Id="rId198" Type="http://schemas.openxmlformats.org/officeDocument/2006/relationships/hyperlink" Target="http://www.sec.gov/Archives/edgar/data/2046386/000119312525253020/d932091dex1032.htm" TargetMode="External"/><Relationship Id="rId199" Type="http://schemas.openxmlformats.org/officeDocument/2006/relationships/hyperlink" Target="http://www.sec.gov/Archives/edgar/data/2046386/000119312525253020/d932091dex1033.htm" TargetMode="External"/><Relationship Id="rId200" Type="http://schemas.openxmlformats.org/officeDocument/2006/relationships/hyperlink" Target="http://www.sec.gov/Archives/edgar/data/2046386/000119312525253020/d932091dex1034.htm" TargetMode="External"/><Relationship Id="rId201" Type="http://schemas.openxmlformats.org/officeDocument/2006/relationships/hyperlink" Target="http://www.sec.gov/Archives/edgar/data/2046386/000119312525253020/d932091dex1035.htm" TargetMode="External"/><Relationship Id="rId202" Type="http://schemas.openxmlformats.org/officeDocument/2006/relationships/hyperlink" Target="http://www.sec.gov/Archives/edgar/data/2046386/000119312525253020/d932091dex1036.htm" TargetMode="External"/><Relationship Id="rId203" Type="http://schemas.openxmlformats.org/officeDocument/2006/relationships/hyperlink" Target="http://www.sec.gov/Archives/edgar/data/2046386/000119312525328884/d933672dex106.htm" TargetMode="External"/><Relationship Id="rId204" Type="http://schemas.openxmlformats.org/officeDocument/2006/relationships/hyperlink" Target="http://www.sec.gov/Archives/edgar/data/2046386/000119312525253020/d932091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2026-05-20T06:04:36Z</dcterms:created>
  <dcterms:modified xsi:type="dcterms:W3CDTF">2026-05-20T06:04:36Z</dcterms:modified>
</cp:coreProperties>
</file>