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December 16, 2025.</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710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Medline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710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sectPr>
      </w:pPr>
    </w:p>
    <w:p>
      <w:pPr>
        <w:spacing w:after="0" w:line="200" w:lineRule="exact"/>
        <w:rPr>
          <w:sz w:val="24"/>
          <w:szCs w:val="24"/>
          <w:color w:val="auto"/>
        </w:rPr>
      </w:pPr>
    </w:p>
    <w:p>
      <w:pPr>
        <w:spacing w:after="0" w:line="269"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33-1845288</w:t>
      </w:r>
    </w:p>
    <w:p>
      <w:pPr>
        <w:spacing w:after="0" w:line="7" w:lineRule="exact"/>
        <w:rPr>
          <w:sz w:val="24"/>
          <w:szCs w:val="24"/>
          <w:color w:val="auto"/>
        </w:rPr>
      </w:pPr>
    </w:p>
    <w:p>
      <w:pPr>
        <w:sectPr>
          <w:pgSz w:w="11900" w:h="16838" w:orient="portrait"/>
          <w:cols w:equalWidth="0" w:num="2">
            <w:col w:w="6860" w:space="720"/>
            <w:col w:w="2980"/>
          </w:cols>
          <w:pgMar w:left="660" w:top="223" w:right="67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73" w:lineRule="exact"/>
        <w:rPr>
          <w:sz w:val="24"/>
          <w:szCs w:val="24"/>
          <w:color w:val="auto"/>
        </w:rPr>
      </w:pPr>
    </w:p>
    <w:p>
      <w:pPr>
        <w:sectPr>
          <w:pgSz w:w="11900" w:h="16838" w:orient="portrait"/>
          <w:cols w:equalWidth="0" w:num="2">
            <w:col w:w="6740" w:space="720"/>
            <w:col w:w="3100"/>
          </w:cols>
          <w:pgMar w:left="660" w:top="223" w:right="6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3 Lakes Drive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Northfield, Illinois 60093</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ectPr>
          <w:pgSz w:w="11900" w:h="16838" w:orient="portrait"/>
          <w:cols w:equalWidth="0" w:num="1">
            <w:col w:w="10560"/>
          </w:cols>
          <w:pgMar w:left="660" w:top="223" w:right="679" w:bottom="1440" w:gutter="0" w:footer="0" w:header="0"/>
          <w:type w:val="continuous"/>
        </w:sectPr>
      </w:pP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 2025 Omnibus Incentive Plan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 2025 Employee Stock Purchase Plan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Alex Liberman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Legal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 Lakes Drive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Northfield, Illinois 60093</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(847) 949-5500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and telephone number, including area code, of agent for service)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Joshua Ford Bonnie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Jonathan R. Ozner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Katharine L. Thompson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Simpson Thacher &amp; Bartlett LLP</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900 G Street, N.W.</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20001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 636-5500</w:t>
      </w:r>
    </w:p>
    <w:p>
      <w:pPr>
        <w:spacing w:after="0" w:line="161" w:lineRule="exact"/>
        <w:rPr>
          <w:sz w:val="24"/>
          <w:szCs w:val="24"/>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Accelerated filer</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3"/>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6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2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19"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710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60"/>
          </w:cols>
          <w:pgMar w:left="660" w:top="223" w:right="6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2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Medline Inc. 2025 Omnibus Incentive Plan and the Medline Inc. 2025 Employee Stock Purchase Plan covered by this Registration Statement as specified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Documents by Reference.</w:t>
      </w:r>
    </w:p>
    <w:p>
      <w:pPr>
        <w:spacing w:after="0" w:line="117"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7"/>
          <w:szCs w:val="17"/>
          <w:color w:val="auto"/>
        </w:rPr>
        <w:t>The following documents filed with the Commission by Medline Inc. (the “Registrant”) pursuant to the Securities Act and the Securities Exchange Act of 1934, as amended (the “Exchange Act”), are hereby incorporated by reference in this Registration Statement:</w:t>
      </w:r>
    </w:p>
    <w:p>
      <w:pPr>
        <w:spacing w:after="0" w:line="44" w:lineRule="exact"/>
        <w:rPr>
          <w:sz w:val="20"/>
          <w:szCs w:val="20"/>
          <w:color w:val="auto"/>
        </w:rPr>
      </w:pPr>
    </w:p>
    <w:p>
      <w:pPr>
        <w:ind w:right="80" w:firstLine="423"/>
        <w:spacing w:after="0" w:line="291" w:lineRule="auto"/>
        <w:tabs>
          <w:tab w:leader="none" w:pos="65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Prospectus relating to the offering of Class A Common Stock to be filed with the Commission pursuant to Rule 424(b) of the Securities Act, relating to the Form S-1 (File No. 333-291112); and</w:t>
      </w:r>
    </w:p>
    <w:p>
      <w:pPr>
        <w:spacing w:after="0" w:line="147" w:lineRule="exact"/>
        <w:rPr>
          <w:rFonts w:ascii="Times New Roman" w:cs="Times New Roman" w:eastAsia="Times New Roman" w:hAnsi="Times New Roman"/>
          <w:sz w:val="17"/>
          <w:szCs w:val="17"/>
          <w:color w:val="auto"/>
        </w:rPr>
      </w:pPr>
    </w:p>
    <w:p>
      <w:pPr>
        <w:ind w:right="40" w:firstLine="423"/>
        <w:spacing w:after="0" w:line="291" w:lineRule="auto"/>
        <w:tabs>
          <w:tab w:leader="none" w:pos="66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Registration Statement on Form 8-A to be filed with the Commission pursuant to Section 12(b) of the Exchange Act, relating to the Registrant’s Class A Common Stock, including all other amendments and reports filed for the purpose of updating such description.</w:t>
      </w:r>
    </w:p>
    <w:p>
      <w:pPr>
        <w:spacing w:after="0" w:line="1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All documents that the Registrant subsequently files pursuant to Sections 13(a), 13(c), 14 and 15(d) of the Exchange Act after the date of this Registration Statement (except for any information deemed furnished to, rather than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3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17"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7"/>
          <w:szCs w:val="17"/>
          <w:color w:val="auto"/>
        </w:rPr>
        <w:t>Section 102(b)(7) of the Delaware General Corporation Law (the “DGCL”) allows a corporation to provide in its certificate of incorporation that a director and certain officers of the corporation will not be personally liable to</w:t>
      </w:r>
    </w:p>
    <w:p>
      <w:pPr>
        <w:sectPr>
          <w:pgSz w:w="11900" w:h="16838" w:orient="portrait"/>
          <w:cols w:equalWidth="0" w:num="1">
            <w:col w:w="10540"/>
          </w:cols>
          <w:pgMar w:left="660" w:top="262" w:right="699" w:bottom="1440" w:gutter="0" w:footer="0" w:header="0"/>
        </w:sectPr>
      </w:pPr>
    </w:p>
    <w:bookmarkStart w:id="2" w:name="page3"/>
    <w:bookmarkEnd w:id="2"/>
    <w:p>
      <w:pPr>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corporation, including any derivative claim. The Registrant’s amended and restated certificate of incorporation provides for this limitation of liability to the fullest extent permitted by law, as it exists now or may exist in the future. The Registrant’s amended and restated certificate of incorporation further provides that no amendment to the Registrant’s exculpation provision will limit or eliminate the rights or protections of officers with respect to acts or omissions occurring prior to the time of the amendment.</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they reasonably believed to be in or not opposed to the corporation’s best interests, 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7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6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The Registrant’s amended and restated bylaws provide that the Registrant, subject to limited exceptions, must indemnify the Registrant’s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the Registrant’s amended and restated bylaws or otherwise.</w:t>
      </w:r>
    </w:p>
    <w:p>
      <w:pPr>
        <w:spacing w:after="0" w:line="169"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The rights to indemnification and advancement of expenses set forth above shall not be exclusive of any other right which an indemnified person may have or hereafter acquire under any statute, provision of the Registrant’s</w:t>
      </w:r>
    </w:p>
    <w:p>
      <w:pPr>
        <w:sectPr>
          <w:pgSz w:w="11900" w:h="16838" w:orient="portrait"/>
          <w:cols w:equalWidth="0" w:num="1">
            <w:col w:w="10540"/>
          </w:cols>
          <w:pgMar w:left="660" w:top="264" w:right="699" w:bottom="1440" w:gutter="0" w:footer="0" w:header="0"/>
        </w:sectPr>
      </w:pPr>
    </w:p>
    <w:bookmarkStart w:id="3" w:name="page4"/>
    <w:bookmarkEnd w:id="3"/>
    <w:p>
      <w:pPr>
        <w:ind w:right="540"/>
        <w:spacing w:after="0" w:line="29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amended and restated certificate of incorporation, the Registrant’s amended and restated bylaws, agreement, vote of stockholders or disinterested directors or otherwise.</w:t>
      </w:r>
    </w:p>
    <w:p>
      <w:pPr>
        <w:spacing w:after="0" w:line="14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Registrant expects to maintain standard policies of insurance that provide coverage (1) to the Registrant’s directors and officers against loss arising from claims made by reason of breach of duty or other wrongful act and (2) to the Registrant with respect to indemnification payments that the Registrant may make to such directors and officers.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Registrant is currently party to or intends to enter into indemnification agreements with its directors and executive officers. These agreements require or will require the Registrant subject to limited exceptions, to indemnify these individuals to the fullest extent permitted under Delaware law against liabilities that may arise by reason of their service to the Registrant, and to advance expenses they incur as a result of any proceeding to which they are or are threatened to be made a party or participant. Insofar as indemnification for liabilities arising under the Securities Act may be permitted to directors or executive officers, the Registrant has been informed that, in the opinion of the Commission, such indemnification is against public policy and is therefore unenforceable.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Registration Statement: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52"/>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4.1</w:t>
            </w:r>
          </w:p>
        </w:tc>
        <w:tc>
          <w:tcPr>
            <w:tcW w:w="848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Form of Amended and Restated Certificate of Incorporation of Medline Inc. (incorporated by reference to Exhibit 3.1 filed</w:t>
              </w:r>
            </w:hyperlink>
          </w:p>
        </w:tc>
      </w:tr>
      <w:tr>
        <w:trPr>
          <w:trHeight w:val="187"/>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0" w:type="dxa"/>
            <w:vAlign w:val="bottom"/>
            <w:tcBorders>
              <w:bottom w:val="single" w:sz="8" w:color="0000EE"/>
            </w:tcBorders>
            <w:gridSpan w:val="11"/>
          </w:tcPr>
          <w:p>
            <w:pPr>
              <w:spacing w:after="0" w:line="187"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with the Registrant’s Registration Statement on Form S-1 filed with the Securities and Exchange Commission on</w:t>
              </w:r>
            </w:hyperlink>
          </w:p>
        </w:tc>
        <w:tc>
          <w:tcPr>
            <w:tcW w:w="680" w:type="dxa"/>
            <w:vAlign w:val="bottom"/>
            <w:gridSpan w:val="2"/>
          </w:tcPr>
          <w:p>
            <w:pPr>
              <w:spacing w:after="0"/>
              <w:rPr>
                <w:sz w:val="16"/>
                <w:szCs w:val="16"/>
                <w:color w:val="auto"/>
              </w:rPr>
            </w:pPr>
          </w:p>
        </w:tc>
      </w:tr>
      <w:tr>
        <w:trPr>
          <w:trHeight w:val="187"/>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80" w:type="dxa"/>
            <w:vAlign w:val="bottom"/>
            <w:gridSpan w:val="13"/>
          </w:tcPr>
          <w:p>
            <w:pPr>
              <w:spacing w:after="0" w:line="187" w:lineRule="exact"/>
              <w:rPr>
                <w:rFonts w:ascii="Times New Roman" w:cs="Times New Roman" w:eastAsia="Times New Roman" w:hAnsi="Times New Roman"/>
                <w:sz w:val="17"/>
                <w:szCs w:val="17"/>
                <w:color w:val="0000EE"/>
              </w:rPr>
            </w:pPr>
            <w:hyperlink r:id="rId16">
              <w:r>
                <w:rPr>
                  <w:rFonts w:ascii="Times New Roman" w:cs="Times New Roman" w:eastAsia="Times New Roman" w:hAnsi="Times New Roman"/>
                  <w:sz w:val="17"/>
                  <w:szCs w:val="17"/>
                  <w:color w:val="0000EE"/>
                </w:rPr>
                <w:t>November 4, 2025).</w:t>
              </w:r>
            </w:hyperlink>
          </w:p>
        </w:tc>
      </w:tr>
      <w:tr>
        <w:trPr>
          <w:trHeight w:val="20"/>
        </w:trPr>
        <w:tc>
          <w:tcPr>
            <w:tcW w:w="208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4.2</w:t>
            </w:r>
          </w:p>
        </w:tc>
        <w:tc>
          <w:tcPr>
            <w:tcW w:w="77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Form of Amended and Restated Bylaws of Medline Inc. (incorporated by reference to Exhibit 3.2 filed with the</w:t>
              </w:r>
            </w:hyperlink>
          </w:p>
        </w:tc>
        <w:tc>
          <w:tcPr>
            <w:tcW w:w="780" w:type="dxa"/>
            <w:vAlign w:val="bottom"/>
            <w:gridSpan w:val="3"/>
          </w:tcPr>
          <w:p>
            <w:pPr>
              <w:spacing w:after="0"/>
              <w:rPr>
                <w:sz w:val="24"/>
                <w:szCs w:val="24"/>
                <w:color w:val="auto"/>
              </w:rPr>
            </w:pPr>
          </w:p>
        </w:tc>
      </w:tr>
      <w:tr>
        <w:trPr>
          <w:trHeight w:val="187"/>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80" w:type="dxa"/>
            <w:vAlign w:val="bottom"/>
            <w:gridSpan w:val="13"/>
          </w:tcPr>
          <w:p>
            <w:pPr>
              <w:spacing w:after="0" w:line="187" w:lineRule="exact"/>
              <w:rPr>
                <w:rFonts w:ascii="Times New Roman" w:cs="Times New Roman" w:eastAsia="Times New Roman" w:hAnsi="Times New Roman"/>
                <w:sz w:val="17"/>
                <w:szCs w:val="17"/>
                <w:color w:val="0000EE"/>
              </w:rPr>
            </w:pPr>
            <w:hyperlink r:id="rId17">
              <w:r>
                <w:rPr>
                  <w:rFonts w:ascii="Times New Roman" w:cs="Times New Roman" w:eastAsia="Times New Roman" w:hAnsi="Times New Roman"/>
                  <w:sz w:val="17"/>
                  <w:szCs w:val="17"/>
                  <w:color w:val="0000EE"/>
                </w:rPr>
                <w:t>Registrant’s Registration Statement on Form S-1 filed with the Securities and Exchange Commission on November 4,</w:t>
              </w:r>
            </w:hyperlink>
          </w:p>
        </w:tc>
      </w:tr>
      <w:tr>
        <w:trPr>
          <w:trHeight w:val="187"/>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87" w:lineRule="exact"/>
              <w:rPr>
                <w:rFonts w:ascii="Times New Roman" w:cs="Times New Roman" w:eastAsia="Times New Roman" w:hAnsi="Times New Roman"/>
                <w:sz w:val="17"/>
                <w:szCs w:val="17"/>
                <w:color w:val="0000EE"/>
                <w:w w:val="95"/>
              </w:rPr>
            </w:pPr>
            <w:hyperlink r:id="rId17">
              <w:r>
                <w:rPr>
                  <w:rFonts w:ascii="Times New Roman" w:cs="Times New Roman" w:eastAsia="Times New Roman" w:hAnsi="Times New Roman"/>
                  <w:sz w:val="17"/>
                  <w:szCs w:val="17"/>
                  <w:color w:val="0000EE"/>
                  <w:w w:val="95"/>
                </w:rPr>
                <w:t>2025).</w:t>
              </w:r>
            </w:hyperlink>
          </w:p>
        </w:tc>
        <w:tc>
          <w:tcPr>
            <w:tcW w:w="7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6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2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0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4.3*</w:t>
            </w:r>
          </w:p>
        </w:tc>
        <w:tc>
          <w:tcPr>
            <w:tcW w:w="3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Medline Inc. 2025 Omnibus Incentive Plan.</w:t>
            </w:r>
          </w:p>
        </w:tc>
        <w:tc>
          <w:tcPr>
            <w:tcW w:w="5460" w:type="dxa"/>
            <w:vAlign w:val="bottom"/>
            <w:gridSpan w:val="9"/>
          </w:tcPr>
          <w:p>
            <w:pPr>
              <w:spacing w:after="0"/>
              <w:rPr>
                <w:sz w:val="24"/>
                <w:szCs w:val="24"/>
                <w:color w:val="auto"/>
              </w:rPr>
            </w:pP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4.4*</w:t>
            </w:r>
          </w:p>
        </w:tc>
        <w:tc>
          <w:tcPr>
            <w:tcW w:w="84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Medline Inc. 2025 Employee Stock Purchase Plan.</w:t>
            </w: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5.1*</w:t>
            </w:r>
          </w:p>
        </w:tc>
        <w:tc>
          <w:tcPr>
            <w:tcW w:w="31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Opinion of Simpson Thacher &amp; Bartlett LLP.</w:t>
            </w:r>
          </w:p>
        </w:tc>
        <w:tc>
          <w:tcPr>
            <w:tcW w:w="380" w:type="dxa"/>
            <w:vAlign w:val="bottom"/>
            <w:tcBorders>
              <w:top w:val="single" w:sz="8" w:color="0000EE"/>
            </w:tcBorders>
          </w:tcPr>
          <w:p>
            <w:pPr>
              <w:spacing w:after="0"/>
              <w:rPr>
                <w:sz w:val="24"/>
                <w:szCs w:val="24"/>
                <w:color w:val="auto"/>
              </w:rPr>
            </w:pPr>
          </w:p>
        </w:tc>
        <w:tc>
          <w:tcPr>
            <w:tcW w:w="4980" w:type="dxa"/>
            <w:vAlign w:val="bottom"/>
            <w:gridSpan w:val="7"/>
          </w:tcPr>
          <w:p>
            <w:pPr>
              <w:spacing w:after="0"/>
              <w:rPr>
                <w:sz w:val="24"/>
                <w:szCs w:val="24"/>
                <w:color w:val="auto"/>
              </w:rPr>
            </w:pP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23.1*</w:t>
            </w:r>
          </w:p>
        </w:tc>
        <w:tc>
          <w:tcPr>
            <w:tcW w:w="84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Consent of Ernst &amp; Young LLP as to Medline Holdings, LP.</w:t>
            </w:r>
          </w:p>
        </w:tc>
      </w:tr>
      <w:tr>
        <w:trPr>
          <w:trHeight w:val="20"/>
        </w:trPr>
        <w:tc>
          <w:tcPr>
            <w:tcW w:w="2080" w:type="dxa"/>
            <w:vAlign w:val="bottom"/>
            <w:gridSpan w:val="2"/>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23.3*</w:t>
            </w:r>
          </w:p>
        </w:tc>
        <w:tc>
          <w:tcPr>
            <w:tcW w:w="84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Consent of Simpson Thacher &amp; Bartlett LLP (included as part of Exhibit 5.1).</w:t>
            </w:r>
          </w:p>
        </w:tc>
      </w:tr>
      <w:tr>
        <w:trPr>
          <w:trHeight w:val="20"/>
        </w:trPr>
        <w:tc>
          <w:tcPr>
            <w:tcW w:w="2080" w:type="dxa"/>
            <w:vAlign w:val="bottom"/>
            <w:gridSpan w:val="2"/>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22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r>
      <w:tr>
        <w:trPr>
          <w:trHeight w:val="291"/>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24.1*</w:t>
            </w:r>
          </w:p>
        </w:tc>
        <w:tc>
          <w:tcPr>
            <w:tcW w:w="848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Power of Attorney (included in the signature pages to this Registration Statement).</w:t>
            </w:r>
          </w:p>
        </w:tc>
      </w:tr>
      <w:tr>
        <w:trPr>
          <w:trHeight w:val="291"/>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920" w:type="dxa"/>
            <w:vAlign w:val="bottom"/>
          </w:tcPr>
          <w:p>
            <w:pPr>
              <w:spacing w:after="0"/>
              <w:rPr>
                <w:sz w:val="24"/>
                <w:szCs w:val="24"/>
                <w:color w:val="auto"/>
              </w:rPr>
            </w:pPr>
          </w:p>
        </w:tc>
        <w:tc>
          <w:tcPr>
            <w:tcW w:w="57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2780" w:type="dxa"/>
            <w:vAlign w:val="bottom"/>
            <w:gridSpan w:val="4"/>
          </w:tcPr>
          <w:p>
            <w:pPr>
              <w:spacing w:after="0"/>
              <w:rPr>
                <w:sz w:val="24"/>
                <w:szCs w:val="24"/>
                <w:color w:val="auto"/>
              </w:rPr>
            </w:pPr>
          </w:p>
        </w:tc>
      </w:tr>
      <w:tr>
        <w:trPr>
          <w:trHeight w:val="161"/>
        </w:trPr>
        <w:tc>
          <w:tcPr>
            <w:tcW w:w="116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26"/>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Filed herewith</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17" w:lineRule="exact"/>
        <w:rPr>
          <w:sz w:val="20"/>
          <w:szCs w:val="20"/>
          <w:color w:val="auto"/>
        </w:rPr>
      </w:pPr>
    </w:p>
    <w:p>
      <w:pPr>
        <w:ind w:left="240" w:hanging="240"/>
        <w:spacing w:after="0"/>
        <w:tabs>
          <w:tab w:leader="none" w:pos="2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15"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15" w:lineRule="exact"/>
        <w:rPr>
          <w:rFonts w:ascii="Times New Roman" w:cs="Times New Roman" w:eastAsia="Times New Roman" w:hAnsi="Times New Roman"/>
          <w:sz w:val="17"/>
          <w:szCs w:val="17"/>
          <w:color w:val="auto"/>
        </w:rPr>
      </w:pPr>
    </w:p>
    <w:p>
      <w:pPr>
        <w:ind w:left="1160" w:hanging="209"/>
        <w:spacing w:after="0"/>
        <w:tabs>
          <w:tab w:leader="none" w:pos="116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ectPr>
          <w:pgSz w:w="11900" w:h="16838" w:orient="portrait"/>
          <w:cols w:equalWidth="0" w:num="1">
            <w:col w:w="10560"/>
          </w:cols>
          <w:pgMar w:left="660" w:top="264" w:right="679" w:bottom="1440" w:gutter="0" w:footer="0" w:header="0"/>
        </w:sectPr>
      </w:pPr>
    </w:p>
    <w:bookmarkStart w:id="4" w:name="page5"/>
    <w:bookmarkEnd w:id="4"/>
    <w:p>
      <w:pPr>
        <w:jc w:val="both"/>
        <w:ind w:right="340" w:firstLine="951"/>
        <w:spacing w:after="0" w:line="273" w:lineRule="auto"/>
        <w:tabs>
          <w:tab w:leader="none" w:pos="1205"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61" w:lineRule="exact"/>
        <w:rPr>
          <w:rFonts w:ascii="Times New Roman" w:cs="Times New Roman" w:eastAsia="Times New Roman" w:hAnsi="Times New Roman"/>
          <w:sz w:val="17"/>
          <w:szCs w:val="17"/>
          <w:color w:val="auto"/>
        </w:rPr>
      </w:pPr>
    </w:p>
    <w:p>
      <w:pPr>
        <w:ind w:firstLine="951"/>
        <w:spacing w:after="0" w:line="266" w:lineRule="auto"/>
        <w:tabs>
          <w:tab w:leader="none" w:pos="1253"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69" w:lineRule="exact"/>
        <w:rPr>
          <w:rFonts w:ascii="Times New Roman" w:cs="Times New Roman" w:eastAsia="Times New Roman" w:hAnsi="Times New Roman"/>
          <w:sz w:val="17"/>
          <w:szCs w:val="17"/>
          <w:color w:val="auto"/>
        </w:rPr>
      </w:pPr>
    </w:p>
    <w:p>
      <w:pPr>
        <w:ind w:right="140" w:firstLine="423"/>
        <w:spacing w:after="0" w:line="273" w:lineRule="auto"/>
        <w:tabs>
          <w:tab w:leader="none" w:pos="66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1" w:lineRule="exact"/>
        <w:rPr>
          <w:rFonts w:ascii="Times New Roman" w:cs="Times New Roman" w:eastAsia="Times New Roman" w:hAnsi="Times New Roman"/>
          <w:sz w:val="17"/>
          <w:szCs w:val="17"/>
          <w:color w:val="auto"/>
        </w:rPr>
      </w:pPr>
    </w:p>
    <w:p>
      <w:pPr>
        <w:ind w:right="600" w:firstLine="423"/>
        <w:spacing w:after="0" w:line="291" w:lineRule="auto"/>
        <w:tabs>
          <w:tab w:leader="none" w:pos="66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47" w:lineRule="exact"/>
        <w:rPr>
          <w:rFonts w:ascii="Times New Roman" w:cs="Times New Roman" w:eastAsia="Times New Roman" w:hAnsi="Times New Roman"/>
          <w:sz w:val="17"/>
          <w:szCs w:val="17"/>
          <w:color w:val="auto"/>
        </w:rPr>
      </w:pPr>
    </w:p>
    <w:p>
      <w:pPr>
        <w:ind w:right="140"/>
        <w:spacing w:after="0" w:line="263" w:lineRule="auto"/>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72" w:lineRule="exact"/>
        <w:rPr>
          <w:rFonts w:ascii="Times New Roman" w:cs="Times New Roman" w:eastAsia="Times New Roman" w:hAnsi="Times New Roman"/>
          <w:sz w:val="17"/>
          <w:szCs w:val="17"/>
          <w:color w:val="auto"/>
        </w:rPr>
      </w:pPr>
    </w:p>
    <w:p>
      <w:pPr>
        <w:ind w:right="60"/>
        <w:spacing w:after="0" w:line="259" w:lineRule="auto"/>
        <w:tabs>
          <w:tab w:leader="none" w:pos="23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60"/>
          </w:cols>
          <w:pgMar w:left="660" w:top="264" w:right="6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ind w:right="320" w:firstLine="422"/>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Northfield, Illinois, on the 16th day of December, 2025.</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22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By: /s/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19050</wp:posOffset>
            </wp:positionV>
            <wp:extent cx="2499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Name:   James M. Boyle</w:t>
      </w:r>
    </w:p>
    <w:p>
      <w:pPr>
        <w:spacing w:after="0" w:line="25" w:lineRule="exact"/>
        <w:rPr>
          <w:sz w:val="20"/>
          <w:szCs w:val="20"/>
          <w:color w:val="auto"/>
        </w:rPr>
      </w:pPr>
    </w:p>
    <w:p>
      <w:pPr>
        <w:ind w:left="6680"/>
        <w:spacing w:after="0"/>
        <w:tabs>
          <w:tab w:leader="none" w:pos="730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the undersigned directors and officers of the Registrant, which is filing a Registration Statement on Form S-8 with the Securities and Exchange Commission, Washington, D.C. 20549 under the provisions of the Securities Act of 1933 hereby constitute and appoint James M. Boyle, Michael B. Drazin, and Alex M. Liberman,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or supplements to this Registration Statement, including post-effective amendments,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8"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and powers of attorney have been signed by the following persons in the capacities indicated on the 16th day of December,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r>
      <w:tr>
        <w:trPr>
          <w:trHeight w:val="394"/>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James M. Boyle</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M. Boyle</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Charles N. Mills</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Charles N. Mills</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Joseph P. Baratta</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Joseph P. Baratta</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Jacob D. Best</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Jacob D. Best</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A. Galanti</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A. Galanti</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Patrick J. Healy</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Patrick J. Healy</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bl>
    <w:p>
      <w:pPr>
        <w:sectPr>
          <w:pgSz w:w="11900" w:h="16838" w:orient="portrait"/>
          <w:cols w:equalWidth="0" w:num="1">
            <w:col w:w="10560"/>
          </w:cols>
          <w:pgMar w:left="660" w:top="262" w:right="67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994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r>
      <w:tr>
        <w:trPr>
          <w:trHeight w:val="394"/>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Andrew J. Mills</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Andrew J. Mills</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Robert R. Schmidt</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Robert R. Schmidt</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Anushka M. Sunder</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Anushka M. Sunder</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Thomas W. Sweet</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Thomas W. Sweet</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Stephen H. Wise</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Stephen H. Wise</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B. Drazin</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4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Michael B. Drazin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bl>
    <w:p>
      <w:pPr>
        <w:sectPr>
          <w:pgSz w:w="11900" w:h="16838" w:orient="portrait"/>
          <w:cols w:equalWidth="0" w:num="1">
            <w:col w:w="10560"/>
          </w:cols>
          <w:pgMar w:left="660" w:top="258" w:right="6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OMNIBUS INCENTIVE PLAN</w:t>
      </w:r>
    </w:p>
    <w:p>
      <w:pPr>
        <w:spacing w:after="0" w:line="219" w:lineRule="exact"/>
        <w:rPr>
          <w:sz w:val="20"/>
          <w:szCs w:val="20"/>
          <w:color w:val="auto"/>
        </w:rPr>
      </w:pPr>
    </w:p>
    <w:p>
      <w:pPr>
        <w:ind w:right="140" w:firstLine="423"/>
        <w:spacing w:after="0" w:line="264" w:lineRule="auto"/>
        <w:tabs>
          <w:tab w:leader="none" w:pos="59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The purpose of the Medline Inc. 2025 Omnibus Incentive Plan is to provide a means through which the Company and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members of the Company Group may attract and retain key personnel, and to provide a means whereby directors, officers, employees, consultants, and advisors of the Company and the other members of the Company Group can acquire and maintain an equity interest in the Company, or be paid incentive compensation, including incentive compensation measured by reference to the value of Common Stock, thereby strengthening their commitment to the welfare of the Company Group and aligning their interests with those of the Company’s stockholders.</w:t>
      </w:r>
    </w:p>
    <w:p>
      <w:pPr>
        <w:spacing w:after="0" w:line="168" w:lineRule="exact"/>
        <w:rPr>
          <w:rFonts w:ascii="Times New Roman" w:cs="Times New Roman" w:eastAsia="Times New Roman" w:hAnsi="Times New Roman"/>
          <w:sz w:val="17"/>
          <w:szCs w:val="17"/>
          <w:b w:val="1"/>
          <w:bCs w:val="1"/>
          <w:color w:val="auto"/>
        </w:rPr>
      </w:pPr>
    </w:p>
    <w:p>
      <w:pPr>
        <w:ind w:left="600" w:hanging="177"/>
        <w:spacing w:after="0"/>
        <w:tabs>
          <w:tab w:leader="none" w:pos="6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The following definitions shall be applicable throughout the Plan.</w:t>
      </w:r>
    </w:p>
    <w:p>
      <w:pPr>
        <w:spacing w:after="0" w:line="219" w:lineRule="exact"/>
        <w:rPr>
          <w:sz w:val="20"/>
          <w:szCs w:val="20"/>
          <w:color w:val="auto"/>
        </w:rPr>
      </w:pPr>
    </w:p>
    <w:p>
      <w:pPr>
        <w:ind w:left="660" w:hanging="237"/>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Absolute Share Limit</w:t>
      </w:r>
      <w:r>
        <w:rPr>
          <w:rFonts w:ascii="Times New Roman" w:cs="Times New Roman" w:eastAsia="Times New Roman" w:hAnsi="Times New Roman"/>
          <w:sz w:val="17"/>
          <w:szCs w:val="17"/>
          <w:color w:val="auto"/>
        </w:rPr>
        <w:t>” has the meaning given to such term in Section 5(b) of the Plan.</w:t>
      </w:r>
    </w:p>
    <w:p>
      <w:pPr>
        <w:spacing w:after="0" w:line="218"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Adjustment Event</w:t>
      </w:r>
      <w:r>
        <w:rPr>
          <w:rFonts w:ascii="Times New Roman" w:cs="Times New Roman" w:eastAsia="Times New Roman" w:hAnsi="Times New Roman"/>
          <w:sz w:val="17"/>
          <w:szCs w:val="17"/>
          <w:color w:val="auto"/>
        </w:rPr>
        <w:t>” has the meaning given to such term in Section 12(a) of the Plan.</w:t>
      </w:r>
    </w:p>
    <w:p>
      <w:pPr>
        <w:spacing w:after="0" w:line="218" w:lineRule="exact"/>
        <w:rPr>
          <w:rFonts w:ascii="Times New Roman" w:cs="Times New Roman" w:eastAsia="Times New Roman" w:hAnsi="Times New Roman"/>
          <w:sz w:val="17"/>
          <w:szCs w:val="17"/>
          <w:color w:val="auto"/>
        </w:rPr>
      </w:pPr>
    </w:p>
    <w:p>
      <w:pPr>
        <w:ind w:right="320" w:firstLine="423"/>
        <w:spacing w:after="0" w:line="267" w:lineRule="auto"/>
        <w:tabs>
          <w:tab w:leader="none" w:pos="65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Affiliate</w:t>
      </w:r>
      <w:r>
        <w:rPr>
          <w:rFonts w:ascii="Times New Roman" w:cs="Times New Roman" w:eastAsia="Times New Roman" w:hAnsi="Times New Roman"/>
          <w:sz w:val="17"/>
          <w:szCs w:val="17"/>
          <w:color w:val="auto"/>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66" w:lineRule="exact"/>
        <w:rPr>
          <w:rFonts w:ascii="Times New Roman" w:cs="Times New Roman" w:eastAsia="Times New Roman" w:hAnsi="Times New Roman"/>
          <w:sz w:val="17"/>
          <w:szCs w:val="17"/>
          <w:color w:val="auto"/>
        </w:rPr>
      </w:pPr>
    </w:p>
    <w:p>
      <w:pPr>
        <w:ind w:right="220" w:firstLine="423"/>
        <w:spacing w:after="0" w:line="267" w:lineRule="auto"/>
        <w:tabs>
          <w:tab w:leader="none" w:pos="66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Applicable Law</w:t>
      </w:r>
      <w:r>
        <w:rPr>
          <w:rFonts w:ascii="Times New Roman" w:cs="Times New Roman" w:eastAsia="Times New Roman" w:hAnsi="Times New Roman"/>
          <w:sz w:val="17"/>
          <w:szCs w:val="17"/>
          <w:color w:val="auto"/>
        </w:rPr>
        <w:t>” means each applicable law, rule, regulation and requirement, including, but not limited to, each applicable U.S. federal, state or local law, any rule or regulation of the applicable securities exchange or inter-dealer quotation system on which the securities of the Company may be listed or quoted and each applicable law, rule or regulation of any other country or jurisdiction where Awards are granted under the Plan or Participants reside or provide services, as each such laws, rules and regulations shall be in effect from time to time.</w:t>
      </w:r>
    </w:p>
    <w:p>
      <w:pPr>
        <w:spacing w:after="0" w:line="166" w:lineRule="exact"/>
        <w:rPr>
          <w:rFonts w:ascii="Times New Roman" w:cs="Times New Roman" w:eastAsia="Times New Roman" w:hAnsi="Times New Roman"/>
          <w:sz w:val="17"/>
          <w:szCs w:val="17"/>
          <w:color w:val="auto"/>
        </w:rPr>
      </w:pPr>
    </w:p>
    <w:p>
      <w:pPr>
        <w:ind w:right="260" w:firstLine="423"/>
        <w:spacing w:after="0" w:line="294" w:lineRule="auto"/>
        <w:tabs>
          <w:tab w:leader="none" w:pos="65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Award</w:t>
      </w:r>
      <w:r>
        <w:rPr>
          <w:rFonts w:ascii="Times New Roman" w:cs="Times New Roman" w:eastAsia="Times New Roman" w:hAnsi="Times New Roman"/>
          <w:sz w:val="17"/>
          <w:szCs w:val="17"/>
          <w:color w:val="auto"/>
        </w:rPr>
        <w:t>” means, individually or collectively, any Incentive Stock Option, Nonqualified Stock Option, Stock Appreciation Right, Restricted Stock, Restricted Stock Unit, OP Unit, Other Equity-Based Award, and Other Cash-Based Award granted under the Plan.</w:t>
      </w:r>
    </w:p>
    <w:p>
      <w:pPr>
        <w:spacing w:after="0" w:line="142" w:lineRule="exact"/>
        <w:rPr>
          <w:rFonts w:ascii="Times New Roman" w:cs="Times New Roman" w:eastAsia="Times New Roman" w:hAnsi="Times New Roman"/>
          <w:sz w:val="17"/>
          <w:szCs w:val="17"/>
          <w:color w:val="auto"/>
        </w:rPr>
      </w:pPr>
    </w:p>
    <w:p>
      <w:pPr>
        <w:ind w:right="180" w:firstLine="423"/>
        <w:spacing w:after="0" w:line="294" w:lineRule="auto"/>
        <w:tabs>
          <w:tab w:leader="none" w:pos="63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Award Agreement</w:t>
      </w:r>
      <w:r>
        <w:rPr>
          <w:rFonts w:ascii="Times New Roman" w:cs="Times New Roman" w:eastAsia="Times New Roman" w:hAnsi="Times New Roman"/>
          <w:sz w:val="17"/>
          <w:szCs w:val="17"/>
          <w:color w:val="auto"/>
        </w:rPr>
        <w:t>” means the document or documents by which each Award (other than an Other Cash-Based Award) is evidenced, which may be in written or electronic form.</w:t>
      </w:r>
    </w:p>
    <w:p>
      <w:pPr>
        <w:spacing w:after="0" w:line="142"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18" w:lineRule="exact"/>
        <w:rPr>
          <w:rFonts w:ascii="Times New Roman" w:cs="Times New Roman" w:eastAsia="Times New Roman" w:hAnsi="Times New Roman"/>
          <w:sz w:val="17"/>
          <w:szCs w:val="17"/>
          <w:color w:val="auto"/>
        </w:rPr>
      </w:pPr>
    </w:p>
    <w:p>
      <w:pPr>
        <w:jc w:val="both"/>
        <w:ind w:right="260" w:firstLine="423"/>
        <w:spacing w:after="0" w:line="274" w:lineRule="auto"/>
        <w:tabs>
          <w:tab w:leader="none" w:pos="66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Cause</w:t>
      </w:r>
      <w:r>
        <w:rPr>
          <w:rFonts w:ascii="Times New Roman" w:cs="Times New Roman" w:eastAsia="Times New Roman" w:hAnsi="Times New Roman"/>
          <w:sz w:val="17"/>
          <w:szCs w:val="17"/>
          <w:color w:val="auto"/>
        </w:rPr>
        <w:t>” means, as to any Participant, unless the applicable Award Agreement states otherwise, (i) “Cause,” as defined in any employment, severance, consulting or other similar agreement or plan between the Participant and the Service Recipient or in which the Participant participates in effect at the time of such Termination, or (ii) in the absence of any</w:t>
      </w:r>
    </w:p>
    <w:p>
      <w:pPr>
        <w:sectPr>
          <w:pgSz w:w="11900" w:h="16838" w:orient="portrait"/>
          <w:cols w:equalWidth="0" w:num="1">
            <w:col w:w="10560"/>
          </w:cols>
          <w:pgMar w:left="660" w:top="119"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such employment, severance, consulting or other similar agreement (or the absence of any definition of “Cause” contained therein), the Participant’s</w:t>
      </w:r>
    </w:p>
    <w:p>
      <w:pPr>
        <w:spacing w:after="0" w:line="30" w:lineRule="exact"/>
        <w:rPr>
          <w:sz w:val="20"/>
          <w:szCs w:val="20"/>
          <w:color w:val="auto"/>
        </w:rPr>
      </w:pPr>
    </w:p>
    <w:p>
      <w:pPr>
        <w:ind w:left="280" w:hanging="280"/>
        <w:spacing w:after="0"/>
        <w:tabs>
          <w:tab w:leader="none" w:pos="2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neglect in the performance of the Participant’s duties for the Service Recipient or willful or repeated failure or refusal to perform such duties;</w:t>
      </w:r>
    </w:p>
    <w:p>
      <w:pPr>
        <w:spacing w:after="0" w:line="11" w:lineRule="exact"/>
        <w:rPr>
          <w:rFonts w:ascii="Times New Roman" w:cs="Times New Roman" w:eastAsia="Times New Roman" w:hAnsi="Times New Roman"/>
          <w:sz w:val="17"/>
          <w:szCs w:val="17"/>
          <w:color w:val="auto"/>
        </w:rPr>
      </w:pPr>
    </w:p>
    <w:p>
      <w:pPr>
        <w:spacing w:after="0" w:line="254" w:lineRule="auto"/>
        <w:tabs>
          <w:tab w:leader="none" w:pos="27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engagement in conduct in connection with the Participant’s employment or service with the Service Recipient, which results in, or could reasonably be expected to result in, material harm to the business or reputation of the Service Recipient or any other member of the Company Group; (C) conviction of, or plea of guilty or no contest to (I) any felony (or similar crime in any non-U.S. jurisdiction for Participants outside the U.S.)] or (II) any other crime that results in, or could reasonably be expected to result in, material harm to the business or reputation of the Service Recipient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w:t>
      </w:r>
    </w:p>
    <w:p>
      <w:pPr>
        <w:spacing w:after="0" w:line="1" w:lineRule="exact"/>
        <w:rPr>
          <w:rFonts w:ascii="Times New Roman" w:cs="Times New Roman" w:eastAsia="Times New Roman" w:hAnsi="Times New Roman"/>
          <w:sz w:val="17"/>
          <w:szCs w:val="17"/>
          <w:color w:val="auto"/>
        </w:rPr>
      </w:pPr>
    </w:p>
    <w:p>
      <w:pPr>
        <w:ind w:right="20"/>
        <w:spacing w:after="0" w:line="259" w:lineRule="auto"/>
        <w:tabs>
          <w:tab w:leader="none" w:pos="26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fraud or misappropriation, embezzlement, or misuse of funds or property belonging to the Service Recipient or any other member of the Company Group; or (F) act of personal dishonesty that involves personal profit in connection with the Participant’s employment or service to the Service Recipient; or (G) engagement in any Detrimental Activity;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in any case, that a Participant’s resignation after an event that would be grounds for a Termination for Cause will be treated as a Termination for Cause hereunder.</w:t>
      </w:r>
    </w:p>
    <w:p>
      <w:pPr>
        <w:spacing w:after="0" w:line="171" w:lineRule="exact"/>
        <w:rPr>
          <w:rFonts w:ascii="Times New Roman" w:cs="Times New Roman" w:eastAsia="Times New Roman" w:hAnsi="Times New Roman"/>
          <w:sz w:val="17"/>
          <w:szCs w:val="17"/>
          <w:color w:val="auto"/>
        </w:rPr>
      </w:pPr>
    </w:p>
    <w:p>
      <w:pPr>
        <w:ind w:left="620" w:hanging="197"/>
        <w:spacing w:after="0"/>
        <w:tabs>
          <w:tab w:leader="none" w:pos="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Change in Control</w:t>
      </w:r>
      <w:r>
        <w:rPr>
          <w:rFonts w:ascii="Times New Roman" w:cs="Times New Roman" w:eastAsia="Times New Roman" w:hAnsi="Times New Roman"/>
          <w:sz w:val="17"/>
          <w:szCs w:val="17"/>
          <w:color w:val="auto"/>
        </w:rPr>
        <w:t>” means:</w:t>
      </w:r>
    </w:p>
    <w:p>
      <w:pPr>
        <w:spacing w:after="0" w:line="117" w:lineRule="exact"/>
        <w:rPr>
          <w:rFonts w:ascii="Times New Roman" w:cs="Times New Roman" w:eastAsia="Times New Roman" w:hAnsi="Times New Roman"/>
          <w:sz w:val="17"/>
          <w:szCs w:val="17"/>
          <w:color w:val="auto"/>
        </w:rPr>
      </w:pPr>
    </w:p>
    <w:p>
      <w:pPr>
        <w:ind w:left="420" w:right="80" w:firstLine="409"/>
        <w:spacing w:after="0" w:line="257" w:lineRule="auto"/>
        <w:tabs>
          <w:tab w:leader="none" w:pos="1032"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acquisition (whether by purchase, merger, consolidation, combination, or other similar transaction) by any Person of beneficial ownership (within the meaning of Rule 13d-3 promulgated under the Exchange Act) (other than our Principal Stockholders (as defined in the Company’s Registration Statement on Form S-1 (File No. 333-291112) or their respective affiliates or any subset thereof) of more than 50% (on a fully diluted basis) of either (A) the then-outstanding shares of Common Stock, taking into account as outstanding for this purpose such Common Stock issuable upon the exercise of options or warrants, the conversion of convertible stock or debt, the exchange of exchangeable stock or units, and the exercise of any similar right to acquire such Common Stock, treating, for the avoidance of doubt, all then-outstanding OP Units as shares of Common Stock assuming the full exchange of then-outstanding OP Units for shares of Common Stock in accordance with the Exchange Agreement; or (B) the combined voting power of the then-outstanding voting securities of the Company entitled to vote generally in the election of directors;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the Plan, the following acquisitions shall not constitute a Change in Control: (I) any acquisition by the Company or any Affiliate; (II) any acquisition by any employee benefit plan sponsored or maintained by the Company or any Affiliate; or (III) in respect of an Award held by a particular Participant, any acquisition by the Participant or any group of Persons including the Participant (or any entity controlled by the Participant or any group of Persons including the Participant);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60"/>
          </w:cols>
          <w:pgMar w:left="660" w:top="264" w:right="679" w:bottom="1440" w:gutter="0" w:footer="0" w:header="0"/>
        </w:sectPr>
      </w:pPr>
    </w:p>
    <w:bookmarkStart w:id="9" w:name="page10"/>
    <w:bookmarkEnd w:id="9"/>
    <w:p>
      <w:pPr>
        <w:ind w:left="400" w:firstLine="409"/>
        <w:spacing w:after="0" w:line="260" w:lineRule="auto"/>
        <w:tabs>
          <w:tab w:leader="none" w:pos="10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during any period of 12 months, individuals who, at the beginning of such period, constitute the Board (the “</w:t>
      </w:r>
      <w:r>
        <w:rPr>
          <w:rFonts w:ascii="Times New Roman" w:cs="Times New Roman" w:eastAsia="Times New Roman" w:hAnsi="Times New Roman"/>
          <w:sz w:val="17"/>
          <w:szCs w:val="17"/>
          <w:b w:val="1"/>
          <w:bCs w:val="1"/>
          <w:u w:val="single" w:color="auto"/>
          <w:color w:val="auto"/>
        </w:rPr>
        <w:t>Incumbent Directors</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Person becoming a director subsequent to the Effective Date, whose election or nomination for election was approved by a vote of at least two-thirds of the Incumbent Directors then on the Board (either by a specific vote or by approval of the proxy statement of the Company in which such Person is named as a nominee for director, without written objection to such nomination) shall be an Incumbent Director;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individual initially elected or nominated as a director of the Company as a result of an actual or threatened election contest, as such terms are used in Rule 14a-12 of Regulation 14A promulgated under the Exchange Act, with respect to directors or as a result of any other actual or threatened solicitation of proxies or consents by or on behalf of any Person other than the Board shall be deemed to be an Incumbent Director; or</w:t>
      </w:r>
    </w:p>
    <w:p>
      <w:pPr>
        <w:spacing w:after="0" w:line="69" w:lineRule="exact"/>
        <w:rPr>
          <w:rFonts w:ascii="Times New Roman" w:cs="Times New Roman" w:eastAsia="Times New Roman" w:hAnsi="Times New Roman"/>
          <w:sz w:val="17"/>
          <w:szCs w:val="17"/>
          <w:color w:val="auto"/>
        </w:rPr>
      </w:pPr>
    </w:p>
    <w:p>
      <w:pPr>
        <w:ind w:left="400" w:right="20" w:firstLine="409"/>
        <w:spacing w:after="0" w:line="291" w:lineRule="auto"/>
        <w:tabs>
          <w:tab w:leader="none" w:pos="110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or other disposition of all or substantially all of the assets of the Company Group (taken as a whole) to any Person that is not an Affiliate of the Company.</w:t>
      </w:r>
    </w:p>
    <w:p>
      <w:pPr>
        <w:spacing w:after="0" w:line="145" w:lineRule="exact"/>
        <w:rPr>
          <w:rFonts w:ascii="Times New Roman" w:cs="Times New Roman" w:eastAsia="Times New Roman" w:hAnsi="Times New Roman"/>
          <w:sz w:val="17"/>
          <w:szCs w:val="17"/>
          <w:color w:val="auto"/>
        </w:rPr>
      </w:pPr>
    </w:p>
    <w:p>
      <w:pPr>
        <w:ind w:left="-20" w:right="260" w:firstLine="423"/>
        <w:spacing w:after="0" w:line="274" w:lineRule="auto"/>
        <w:tabs>
          <w:tab w:leader="none" w:pos="6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means the Internal Revenue Code of 1986, as amended, and any successor thereto. Reference in the Plan to any section of the Code shall be deemed to include any regulations or other interpretative guidance under such section, and any amendments or successor provisions to such section, regulations, or guidance.</w:t>
      </w:r>
    </w:p>
    <w:p>
      <w:pPr>
        <w:spacing w:after="0" w:line="159" w:lineRule="exact"/>
        <w:rPr>
          <w:rFonts w:ascii="Times New Roman" w:cs="Times New Roman" w:eastAsia="Times New Roman" w:hAnsi="Times New Roman"/>
          <w:sz w:val="17"/>
          <w:szCs w:val="17"/>
          <w:color w:val="auto"/>
        </w:rPr>
      </w:pPr>
    </w:p>
    <w:p>
      <w:pPr>
        <w:ind w:left="-20" w:right="60" w:firstLine="423"/>
        <w:spacing w:after="0" w:line="294" w:lineRule="auto"/>
        <w:tabs>
          <w:tab w:leader="none" w:pos="64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Committee</w:t>
      </w:r>
      <w:r>
        <w:rPr>
          <w:rFonts w:ascii="Times New Roman" w:cs="Times New Roman" w:eastAsia="Times New Roman" w:hAnsi="Times New Roman"/>
          <w:sz w:val="17"/>
          <w:szCs w:val="17"/>
          <w:color w:val="auto"/>
        </w:rPr>
        <w:t>” means the Compensation Committee of the Board or any properly delegated subcommittee thereof or, if no such Compensation Committee or subcommittee thereof exists, the Board.</w:t>
      </w:r>
    </w:p>
    <w:p>
      <w:pPr>
        <w:spacing w:after="0" w:line="142" w:lineRule="exact"/>
        <w:rPr>
          <w:rFonts w:ascii="Times New Roman" w:cs="Times New Roman" w:eastAsia="Times New Roman" w:hAnsi="Times New Roman"/>
          <w:sz w:val="17"/>
          <w:szCs w:val="17"/>
          <w:color w:val="auto"/>
        </w:rPr>
      </w:pPr>
    </w:p>
    <w:p>
      <w:pPr>
        <w:ind w:left="-20" w:firstLine="423"/>
        <w:spacing w:after="0" w:line="294" w:lineRule="auto"/>
        <w:tabs>
          <w:tab w:leader="none" w:pos="6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Common Stock</w:t>
      </w:r>
      <w:r>
        <w:rPr>
          <w:rFonts w:ascii="Times New Roman" w:cs="Times New Roman" w:eastAsia="Times New Roman" w:hAnsi="Times New Roman"/>
          <w:sz w:val="17"/>
          <w:szCs w:val="17"/>
          <w:color w:val="auto"/>
        </w:rPr>
        <w:t>” means the Class A common stock of the Company, par value $0.0001 per share (and any stock or other securities into which such Common Stock may be converted or into which it may be exchanged).</w:t>
      </w:r>
    </w:p>
    <w:p>
      <w:pPr>
        <w:spacing w:after="0" w:line="142" w:lineRule="exact"/>
        <w:rPr>
          <w:rFonts w:ascii="Times New Roman" w:cs="Times New Roman" w:eastAsia="Times New Roman" w:hAnsi="Times New Roman"/>
          <w:sz w:val="17"/>
          <w:szCs w:val="17"/>
          <w:color w:val="auto"/>
        </w:rPr>
      </w:pPr>
    </w:p>
    <w:p>
      <w:pPr>
        <w:ind w:left="700" w:hanging="297"/>
        <w:spacing w:after="0"/>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means Medline Inc., a Delaware corporation, and any successor thereto.</w:t>
      </w:r>
    </w:p>
    <w:p>
      <w:pPr>
        <w:spacing w:after="0" w:line="218"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 Group</w:t>
      </w:r>
      <w:r>
        <w:rPr>
          <w:rFonts w:ascii="Times New Roman" w:cs="Times New Roman" w:eastAsia="Times New Roman" w:hAnsi="Times New Roman"/>
          <w:sz w:val="17"/>
          <w:szCs w:val="17"/>
          <w:color w:val="auto"/>
        </w:rPr>
        <w:t>” means, collectively, the Company and its Subsidiaries.</w:t>
      </w:r>
    </w:p>
    <w:p>
      <w:pPr>
        <w:spacing w:after="0" w:line="218"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Date of Grant</w:t>
      </w:r>
      <w:r>
        <w:rPr>
          <w:rFonts w:ascii="Times New Roman" w:cs="Times New Roman" w:eastAsia="Times New Roman" w:hAnsi="Times New Roman"/>
          <w:sz w:val="17"/>
          <w:szCs w:val="17"/>
          <w:color w:val="auto"/>
        </w:rPr>
        <w:t>” means the date on which the granting of an Award is authorized, or such other date as may be specified in such authorization.</w:t>
      </w:r>
    </w:p>
    <w:p>
      <w:pPr>
        <w:spacing w:after="0" w:line="218" w:lineRule="exact"/>
        <w:rPr>
          <w:rFonts w:ascii="Times New Roman" w:cs="Times New Roman" w:eastAsia="Times New Roman" w:hAnsi="Times New Roman"/>
          <w:sz w:val="17"/>
          <w:szCs w:val="17"/>
          <w:color w:val="auto"/>
        </w:rPr>
      </w:pPr>
    </w:p>
    <w:p>
      <w:pPr>
        <w:ind w:left="-20" w:right="300" w:firstLine="423"/>
        <w:spacing w:after="0" w:line="294" w:lineRule="auto"/>
        <w:tabs>
          <w:tab w:leader="none" w:pos="64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Designated Foreign Subsidiaries</w:t>
      </w:r>
      <w:r>
        <w:rPr>
          <w:rFonts w:ascii="Times New Roman" w:cs="Times New Roman" w:eastAsia="Times New Roman" w:hAnsi="Times New Roman"/>
          <w:sz w:val="17"/>
          <w:szCs w:val="17"/>
          <w:color w:val="auto"/>
        </w:rPr>
        <w:t>” means all members of the Company Group that are organized under the laws of any jurisdiction other than the United States of America that may be designated by the Board or the Committee from time to time.</w:t>
      </w:r>
    </w:p>
    <w:p>
      <w:pPr>
        <w:spacing w:after="0" w:line="142" w:lineRule="exact"/>
        <w:rPr>
          <w:rFonts w:ascii="Times New Roman" w:cs="Times New Roman" w:eastAsia="Times New Roman" w:hAnsi="Times New Roman"/>
          <w:sz w:val="17"/>
          <w:szCs w:val="17"/>
          <w:color w:val="auto"/>
        </w:rPr>
      </w:pPr>
    </w:p>
    <w:p>
      <w:pPr>
        <w:ind w:left="-20" w:right="80" w:firstLine="423"/>
        <w:spacing w:after="0" w:line="264" w:lineRule="auto"/>
        <w:tabs>
          <w:tab w:leader="none" w:pos="64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Detrimental Activity</w:t>
      </w:r>
      <w:r>
        <w:rPr>
          <w:rFonts w:ascii="Times New Roman" w:cs="Times New Roman" w:eastAsia="Times New Roman" w:hAnsi="Times New Roman"/>
          <w:sz w:val="17"/>
          <w:szCs w:val="17"/>
          <w:color w:val="auto"/>
        </w:rPr>
        <w:t>” means any of the following: (i) unauthorized disclosure or use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solicit, in any agreement with any member of the Company Group, or (iv) fraud or conduct contributing to any financial restatements or irregularities, in each case, as determined by the Committee in its sole discretion.</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20"/>
          </w:cols>
          <w:pgMar w:left="680" w:top="262" w:right="699" w:bottom="1440" w:gutter="0" w:footer="0" w:header="0"/>
        </w:sectPr>
      </w:pPr>
    </w:p>
    <w:bookmarkStart w:id="10" w:name="page11"/>
    <w:bookmarkEnd w:id="10"/>
    <w:p>
      <w:pPr>
        <w:ind w:firstLine="423"/>
        <w:spacing w:after="0" w:line="260" w:lineRule="auto"/>
        <w:tabs>
          <w:tab w:leader="none" w:pos="63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Disability</w:t>
      </w:r>
      <w:r>
        <w:rPr>
          <w:rFonts w:ascii="Times New Roman" w:cs="Times New Roman" w:eastAsia="Times New Roman" w:hAnsi="Times New Roman"/>
          <w:sz w:val="17"/>
          <w:szCs w:val="17"/>
          <w:color w:val="auto"/>
        </w:rPr>
        <w:t>” means, as to any Participant, unless the applicable Award Agreement states otherwise, (i) “Disability”, as defined in any employment, severance, consulting or other similar agreement between the Participant and the Service Recipient in effect at the time of such Termination; or (ii) in the absence of any such employment, severance, consulting or other similar agreement (or the absence of any definition of “Disability” contained therein), a condition entitling the Participant to receive benefits under a long-term disability plan of the Service Recipient or other member of the Company Group in which such Participant is eligible to participate, or, in the absence of such a plan, the complete and permanent inability of the Participant by reason of illness or accident to perform the duties of the position at which the Participant was employed or served when such disability commenced. Any determination of whether Disability exists in the absence of a long-term disability plan shall be made by the Company (or its designee) in its sole and absolute discretion.</w:t>
      </w:r>
    </w:p>
    <w:p>
      <w:pPr>
        <w:spacing w:after="0" w:line="170" w:lineRule="exact"/>
        <w:rPr>
          <w:rFonts w:ascii="Times New Roman" w:cs="Times New Roman" w:eastAsia="Times New Roman" w:hAnsi="Times New Roman"/>
          <w:sz w:val="17"/>
          <w:szCs w:val="17"/>
          <w:color w:val="auto"/>
        </w:rPr>
      </w:pPr>
    </w:p>
    <w:p>
      <w:pPr>
        <w:ind w:right="320" w:firstLine="423"/>
        <w:spacing w:after="0" w:line="294" w:lineRule="auto"/>
        <w:tabs>
          <w:tab w:leader="none" w:pos="64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Effective Date</w:t>
      </w:r>
      <w:r>
        <w:rPr>
          <w:rFonts w:ascii="Times New Roman" w:cs="Times New Roman" w:eastAsia="Times New Roman" w:hAnsi="Times New Roman"/>
          <w:sz w:val="17"/>
          <w:szCs w:val="17"/>
          <w:color w:val="auto"/>
        </w:rPr>
        <w:t>” means the date on which the Company enters into an agreement to consummate an initial public offering of the Common Stock pursuant to a registration filed with the Securities Exchange Commission pursuant to the Securities Act.</w:t>
      </w:r>
    </w:p>
    <w:p>
      <w:pPr>
        <w:spacing w:after="0" w:line="142" w:lineRule="exact"/>
        <w:rPr>
          <w:rFonts w:ascii="Times New Roman" w:cs="Times New Roman" w:eastAsia="Times New Roman" w:hAnsi="Times New Roman"/>
          <w:sz w:val="17"/>
          <w:szCs w:val="17"/>
          <w:color w:val="auto"/>
        </w:rPr>
      </w:pPr>
    </w:p>
    <w:p>
      <w:pPr>
        <w:ind w:right="40" w:firstLine="423"/>
        <w:spacing w:after="0" w:line="262" w:lineRule="auto"/>
        <w:tabs>
          <w:tab w:leader="none" w:pos="62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Eligible Person</w:t>
      </w:r>
      <w:r>
        <w:rPr>
          <w:rFonts w:ascii="Times New Roman" w:cs="Times New Roman" w:eastAsia="Times New Roman" w:hAnsi="Times New Roman"/>
          <w:sz w:val="17"/>
          <w:szCs w:val="17"/>
          <w:color w:val="auto"/>
        </w:rPr>
        <w:t xml:space="preserve">” means any: (i) individual employed by any member of the Company Group;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or officer of any member of the Company Group; or (iii) consultant or advisor to any member of the Company Group or any other Person, in each case,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Plan.</w:t>
      </w:r>
    </w:p>
    <w:p>
      <w:pPr>
        <w:spacing w:after="0" w:line="170" w:lineRule="exact"/>
        <w:rPr>
          <w:rFonts w:ascii="Times New Roman" w:cs="Times New Roman" w:eastAsia="Times New Roman" w:hAnsi="Times New Roman"/>
          <w:sz w:val="17"/>
          <w:szCs w:val="17"/>
          <w:color w:val="auto"/>
        </w:rPr>
      </w:pPr>
    </w:p>
    <w:p>
      <w:pPr>
        <w:jc w:val="both"/>
        <w:ind w:right="160" w:firstLine="423"/>
        <w:spacing w:after="0" w:line="274" w:lineRule="auto"/>
        <w:tabs>
          <w:tab w:leader="none" w:pos="66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Securities Exchange Act of 1934, as amended, and any successor thereto. Reference in the Plan to any section of (or rule promulgated under) the Exchange Act shall be deemed to include any rules, regulations, or other interpretative guidance under such section or rule, and any amendments or successor provisions to such section, rules, regulations, or guidance.</w:t>
      </w:r>
    </w:p>
    <w:p>
      <w:pPr>
        <w:spacing w:after="0" w:line="159" w:lineRule="exact"/>
        <w:rPr>
          <w:rFonts w:ascii="Times New Roman" w:cs="Times New Roman" w:eastAsia="Times New Roman" w:hAnsi="Times New Roman"/>
          <w:sz w:val="17"/>
          <w:szCs w:val="17"/>
          <w:color w:val="auto"/>
        </w:rPr>
      </w:pPr>
    </w:p>
    <w:p>
      <w:pPr>
        <w:ind w:right="480" w:firstLine="423"/>
        <w:spacing w:after="0" w:line="294" w:lineRule="auto"/>
        <w:tabs>
          <w:tab w:leader="none" w:pos="66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Agreement</w:t>
      </w:r>
      <w:r>
        <w:rPr>
          <w:rFonts w:ascii="Times New Roman" w:cs="Times New Roman" w:eastAsia="Times New Roman" w:hAnsi="Times New Roman"/>
          <w:sz w:val="17"/>
          <w:szCs w:val="17"/>
          <w:color w:val="auto"/>
        </w:rPr>
        <w:t>” means the Exchange Agreement, dated as of or about the date of the closing of the initial public offering of the Company among the Company, the Operating Company and holders of OP Units from time to time, as amended from time to time.</w:t>
      </w:r>
    </w:p>
    <w:p>
      <w:pPr>
        <w:spacing w:after="0" w:line="142" w:lineRule="exact"/>
        <w:rPr>
          <w:rFonts w:ascii="Times New Roman" w:cs="Times New Roman" w:eastAsia="Times New Roman" w:hAnsi="Times New Roman"/>
          <w:sz w:val="17"/>
          <w:szCs w:val="17"/>
          <w:color w:val="auto"/>
        </w:rPr>
      </w:pPr>
    </w:p>
    <w:p>
      <w:pPr>
        <w:ind w:left="700" w:hanging="277"/>
        <w:spacing w:after="0"/>
        <w:tabs>
          <w:tab w:leader="none" w:pos="7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 has the meaning given to such term in Section 7(b) of the Plan.</w:t>
      </w:r>
    </w:p>
    <w:p>
      <w:pPr>
        <w:spacing w:after="0" w:line="218" w:lineRule="exact"/>
        <w:rPr>
          <w:rFonts w:ascii="Times New Roman" w:cs="Times New Roman" w:eastAsia="Times New Roman" w:hAnsi="Times New Roman"/>
          <w:sz w:val="17"/>
          <w:szCs w:val="17"/>
          <w:color w:val="auto"/>
        </w:rPr>
      </w:pPr>
    </w:p>
    <w:p>
      <w:pPr>
        <w:ind w:firstLine="423"/>
        <w:spacing w:after="0" w:line="264" w:lineRule="auto"/>
        <w:tabs>
          <w:tab w:leader="none" w:pos="66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Fair Market Value</w:t>
      </w:r>
      <w:r>
        <w:rPr>
          <w:rFonts w:ascii="Times New Roman" w:cs="Times New Roman" w:eastAsia="Times New Roman" w:hAnsi="Times New Roman"/>
          <w:sz w:val="17"/>
          <w:szCs w:val="17"/>
          <w:color w:val="auto"/>
        </w:rPr>
        <w:t>” means, with respect to the Common Stock, the fair market value thereof as of the relevant date of determination, as determined in accordance with the valuation methodology approved by the Committee or its delegate (based on objective criteria and which may include a weighted-average calculation) from time to time. In the absence of any alternative valuation methodology approved by the Committee or its delegate, Fair Market Value shall be, on a given date: (i) if the Common Stock is listed on a national securities exchange, the closing sales price of the Common Stock reported on the primary exchange on which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60"/>
          </w:cols>
          <w:pgMar w:left="660" w:top="262" w:right="679" w:bottom="1440" w:gutter="0" w:footer="0" w:header="0"/>
        </w:sectPr>
      </w:pPr>
    </w:p>
    <w:bookmarkStart w:id="11" w:name="page12"/>
    <w:bookmarkEnd w:id="11"/>
    <w:p>
      <w:pPr>
        <w:ind w:right="80"/>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 the Common Stock is not listed on a national securities exchange or quoted in an inter-dealer quotation system on a last-sale basis, the amount determined by the Committee in good faith to be the fair market value of the Common Stock. The definition of Fair Market Value may differ depending on whether Fair Market Value is in reference to the grant, exercise, vesting, settlement or payout of an Award;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as to any Awards granted on or with a Date of Grant of the date of the pricing of the Company’s initial public offering, “Fair Market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equal to the per share price at which the Common Stock is offered to the public in connection with such initial public offering.</w:t>
      </w:r>
    </w:p>
    <w:p>
      <w:pPr>
        <w:spacing w:after="0" w:line="175" w:lineRule="exact"/>
        <w:rPr>
          <w:sz w:val="20"/>
          <w:szCs w:val="20"/>
          <w:color w:val="auto"/>
        </w:rPr>
      </w:pPr>
    </w:p>
    <w:p>
      <w:pPr>
        <w:ind w:left="660" w:hanging="237"/>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GAAP</w:t>
      </w:r>
      <w:r>
        <w:rPr>
          <w:rFonts w:ascii="Times New Roman" w:cs="Times New Roman" w:eastAsia="Times New Roman" w:hAnsi="Times New Roman"/>
          <w:sz w:val="17"/>
          <w:szCs w:val="17"/>
          <w:color w:val="auto"/>
        </w:rPr>
        <w:t>” has the meaning given to such term in Section 7(d) of the Plan.</w:t>
      </w:r>
    </w:p>
    <w:p>
      <w:pPr>
        <w:spacing w:after="0" w:line="218"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Immediate Family Members</w:t>
      </w:r>
      <w:r>
        <w:rPr>
          <w:rFonts w:ascii="Times New Roman" w:cs="Times New Roman" w:eastAsia="Times New Roman" w:hAnsi="Times New Roman"/>
          <w:sz w:val="17"/>
          <w:szCs w:val="17"/>
          <w:color w:val="auto"/>
        </w:rPr>
        <w:t>” has the meaning given to such term in Section 14(b)(ii) of the Plan.</w:t>
      </w:r>
    </w:p>
    <w:p>
      <w:pPr>
        <w:spacing w:after="0" w:line="219" w:lineRule="exact"/>
        <w:rPr>
          <w:sz w:val="20"/>
          <w:szCs w:val="20"/>
          <w:color w:val="auto"/>
        </w:rPr>
      </w:pPr>
    </w:p>
    <w:p>
      <w:pPr>
        <w:ind w:firstLine="423"/>
        <w:spacing w:after="0" w:line="294" w:lineRule="auto"/>
        <w:tabs>
          <w:tab w:leader="none" w:pos="73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Incentive Stock Option</w:t>
      </w:r>
      <w:r>
        <w:rPr>
          <w:rFonts w:ascii="Times New Roman" w:cs="Times New Roman" w:eastAsia="Times New Roman" w:hAnsi="Times New Roman"/>
          <w:sz w:val="17"/>
          <w:szCs w:val="17"/>
          <w:color w:val="auto"/>
        </w:rPr>
        <w:t>” means an Option which is designated by the Committee as an incentive stock option as described in Section 422 of the Code and otherwise meets the requirements set forth in the Plan.</w:t>
      </w:r>
    </w:p>
    <w:p>
      <w:pPr>
        <w:spacing w:after="0" w:line="142"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Indemnifiable Person</w:t>
      </w:r>
      <w:r>
        <w:rPr>
          <w:rFonts w:ascii="Times New Roman" w:cs="Times New Roman" w:eastAsia="Times New Roman" w:hAnsi="Times New Roman"/>
          <w:sz w:val="17"/>
          <w:szCs w:val="17"/>
          <w:color w:val="auto"/>
        </w:rPr>
        <w:t>” has the meaning given to such term in Section 4(e) of the Plan.</w:t>
      </w:r>
    </w:p>
    <w:p>
      <w:pPr>
        <w:spacing w:after="0" w:line="218" w:lineRule="exact"/>
        <w:rPr>
          <w:rFonts w:ascii="Times New Roman" w:cs="Times New Roman" w:eastAsia="Times New Roman" w:hAnsi="Times New Roman"/>
          <w:sz w:val="17"/>
          <w:szCs w:val="17"/>
          <w:color w:val="auto"/>
        </w:rPr>
      </w:pPr>
    </w:p>
    <w:p>
      <w:pPr>
        <w:ind w:left="740" w:hanging="317"/>
        <w:spacing w:after="0"/>
        <w:tabs>
          <w:tab w:leader="none" w:pos="7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Non-Employee Director</w:t>
      </w:r>
      <w:r>
        <w:rPr>
          <w:rFonts w:ascii="Times New Roman" w:cs="Times New Roman" w:eastAsia="Times New Roman" w:hAnsi="Times New Roman"/>
          <w:sz w:val="17"/>
          <w:szCs w:val="17"/>
          <w:color w:val="auto"/>
        </w:rPr>
        <w:t>” means a member of the Board who is not an employee of any member of the Company Group.</w:t>
      </w:r>
    </w:p>
    <w:p>
      <w:pPr>
        <w:spacing w:after="0" w:line="218"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Nonqualified Stock Option</w:t>
      </w:r>
      <w:r>
        <w:rPr>
          <w:rFonts w:ascii="Times New Roman" w:cs="Times New Roman" w:eastAsia="Times New Roman" w:hAnsi="Times New Roman"/>
          <w:sz w:val="17"/>
          <w:szCs w:val="17"/>
          <w:color w:val="auto"/>
        </w:rPr>
        <w:t>” means an Option which is not designated by the Committee as an Incentive Stock Option.</w:t>
      </w:r>
    </w:p>
    <w:p>
      <w:pPr>
        <w:spacing w:after="0" w:line="218" w:lineRule="exact"/>
        <w:rPr>
          <w:rFonts w:ascii="Times New Roman" w:cs="Times New Roman" w:eastAsia="Times New Roman" w:hAnsi="Times New Roman"/>
          <w:sz w:val="17"/>
          <w:szCs w:val="17"/>
          <w:color w:val="auto"/>
        </w:rPr>
      </w:pPr>
    </w:p>
    <w:p>
      <w:pPr>
        <w:ind w:left="740" w:hanging="317"/>
        <w:spacing w:after="0"/>
        <w:tabs>
          <w:tab w:leader="none" w:pos="7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Operating Company</w:t>
      </w:r>
      <w:r>
        <w:rPr>
          <w:rFonts w:ascii="Times New Roman" w:cs="Times New Roman" w:eastAsia="Times New Roman" w:hAnsi="Times New Roman"/>
          <w:sz w:val="17"/>
          <w:szCs w:val="17"/>
          <w:color w:val="auto"/>
        </w:rPr>
        <w:t>” has the meaning given to such term in Section 10(a) of the Plan.</w:t>
      </w:r>
    </w:p>
    <w:p>
      <w:pPr>
        <w:spacing w:after="0" w:line="218" w:lineRule="exact"/>
        <w:rPr>
          <w:rFonts w:ascii="Times New Roman" w:cs="Times New Roman" w:eastAsia="Times New Roman" w:hAnsi="Times New Roman"/>
          <w:sz w:val="17"/>
          <w:szCs w:val="17"/>
          <w:color w:val="auto"/>
        </w:rPr>
      </w:pPr>
    </w:p>
    <w:p>
      <w:pPr>
        <w:ind w:left="700" w:hanging="277"/>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Option</w:t>
      </w:r>
      <w:r>
        <w:rPr>
          <w:rFonts w:ascii="Times New Roman" w:cs="Times New Roman" w:eastAsia="Times New Roman" w:hAnsi="Times New Roman"/>
          <w:sz w:val="17"/>
          <w:szCs w:val="17"/>
          <w:color w:val="auto"/>
        </w:rPr>
        <w:t>” means an Award granted under Section 7 of the Plan.</w:t>
      </w:r>
    </w:p>
    <w:p>
      <w:pPr>
        <w:spacing w:after="0" w:line="218"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Option Period</w:t>
      </w:r>
      <w:r>
        <w:rPr>
          <w:rFonts w:ascii="Times New Roman" w:cs="Times New Roman" w:eastAsia="Times New Roman" w:hAnsi="Times New Roman"/>
          <w:sz w:val="17"/>
          <w:szCs w:val="17"/>
          <w:color w:val="auto"/>
        </w:rPr>
        <w:t>” has the meaning given to such term in Section 7(c)(i) of the Plan.</w:t>
      </w:r>
    </w:p>
    <w:p>
      <w:pPr>
        <w:spacing w:after="0" w:line="218"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OP Unit</w:t>
      </w:r>
      <w:r>
        <w:rPr>
          <w:rFonts w:ascii="Times New Roman" w:cs="Times New Roman" w:eastAsia="Times New Roman" w:hAnsi="Times New Roman"/>
          <w:sz w:val="17"/>
          <w:szCs w:val="17"/>
          <w:color w:val="auto"/>
        </w:rPr>
        <w:t>” means an Award granted under Section 10(a) of the Plan.</w:t>
      </w:r>
    </w:p>
    <w:p>
      <w:pPr>
        <w:spacing w:after="0" w:line="218" w:lineRule="exact"/>
        <w:rPr>
          <w:rFonts w:ascii="Times New Roman" w:cs="Times New Roman" w:eastAsia="Times New Roman" w:hAnsi="Times New Roman"/>
          <w:sz w:val="17"/>
          <w:szCs w:val="17"/>
          <w:color w:val="auto"/>
        </w:rPr>
      </w:pPr>
    </w:p>
    <w:p>
      <w:pPr>
        <w:ind w:left="680" w:hanging="257"/>
        <w:spacing w:after="0"/>
        <w:tabs>
          <w:tab w:leader="none" w:pos="6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Other Cash-Based Award</w:t>
      </w:r>
      <w:r>
        <w:rPr>
          <w:rFonts w:ascii="Times New Roman" w:cs="Times New Roman" w:eastAsia="Times New Roman" w:hAnsi="Times New Roman"/>
          <w:sz w:val="17"/>
          <w:szCs w:val="17"/>
          <w:color w:val="auto"/>
        </w:rPr>
        <w:t>” means an Award that is granted under Section 11 of the Plan that is denominated and/or payable in cash.</w:t>
      </w:r>
    </w:p>
    <w:p>
      <w:pPr>
        <w:spacing w:after="0" w:line="218" w:lineRule="exact"/>
        <w:rPr>
          <w:rFonts w:ascii="Times New Roman" w:cs="Times New Roman" w:eastAsia="Times New Roman" w:hAnsi="Times New Roman"/>
          <w:sz w:val="17"/>
          <w:szCs w:val="17"/>
          <w:color w:val="auto"/>
        </w:rPr>
      </w:pPr>
    </w:p>
    <w:p>
      <w:pPr>
        <w:ind w:right="160" w:firstLine="423"/>
        <w:spacing w:after="0" w:line="274" w:lineRule="auto"/>
        <w:tabs>
          <w:tab w:leader="none" w:pos="67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Other Equity-Based Award</w:t>
      </w:r>
      <w:r>
        <w:rPr>
          <w:rFonts w:ascii="Times New Roman" w:cs="Times New Roman" w:eastAsia="Times New Roman" w:hAnsi="Times New Roman"/>
          <w:sz w:val="17"/>
          <w:szCs w:val="17"/>
          <w:color w:val="auto"/>
        </w:rPr>
        <w:t>” means an Award that is not an Option, Stock Appreciation Right, Restricted Stock, or Restricted Stock Unit that is granted under Section 11 of the Plan and is (i) payable by delivery of Common Stock and/or (ii) measured by reference to the value of Common Stock.</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60"/>
          </w:cols>
          <w:pgMar w:left="660" w:top="264" w:right="679" w:bottom="1440" w:gutter="0" w:footer="0" w:header="0"/>
        </w:sectPr>
      </w:pPr>
    </w:p>
    <w:bookmarkStart w:id="12" w:name="page13"/>
    <w:bookmarkEnd w:id="12"/>
    <w:p>
      <w:pPr>
        <w:ind w:right="80" w:firstLine="423"/>
        <w:spacing w:after="0" w:line="294" w:lineRule="auto"/>
        <w:tabs>
          <w:tab w:leader="none" w:pos="753"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Participant</w:t>
      </w:r>
      <w:r>
        <w:rPr>
          <w:rFonts w:ascii="Times New Roman" w:cs="Times New Roman" w:eastAsia="Times New Roman" w:hAnsi="Times New Roman"/>
          <w:sz w:val="17"/>
          <w:szCs w:val="17"/>
          <w:color w:val="auto"/>
        </w:rPr>
        <w:t>” means an Eligible Person who has been selected by the Committee to participate in the Plan and to receive an Award pursuant to the Plan.</w:t>
      </w:r>
    </w:p>
    <w:p>
      <w:pPr>
        <w:spacing w:after="0" w:line="142" w:lineRule="exact"/>
        <w:rPr>
          <w:rFonts w:ascii="Times New Roman" w:cs="Times New Roman" w:eastAsia="Times New Roman" w:hAnsi="Times New Roman"/>
          <w:sz w:val="17"/>
          <w:szCs w:val="17"/>
          <w:color w:val="auto"/>
        </w:rPr>
      </w:pPr>
    </w:p>
    <w:p>
      <w:pPr>
        <w:ind w:firstLine="423"/>
        <w:spacing w:after="0" w:line="256" w:lineRule="auto"/>
        <w:tabs>
          <w:tab w:leader="none" w:pos="676"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Performance Conditions</w:t>
      </w:r>
      <w:r>
        <w:rPr>
          <w:rFonts w:ascii="Times New Roman" w:cs="Times New Roman" w:eastAsia="Times New Roman" w:hAnsi="Times New Roman"/>
          <w:sz w:val="17"/>
          <w:szCs w:val="17"/>
          <w:color w:val="auto"/>
        </w:rPr>
        <w:t>” means specific levels of performance of the Company (and/or one or more members of the Company Group,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w:t>
      </w:r>
    </w:p>
    <w:p>
      <w:pPr>
        <w:spacing w:after="0" w:line="6"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value; (xviii) sales; (xix) stockholder return; (xx) customer/client retention; (xxi) competitive market metrics; (xxii) employee retention;</w:t>
      </w:r>
    </w:p>
    <w:p>
      <w:pPr>
        <w:spacing w:after="0" w:line="11" w:lineRule="exact"/>
        <w:rPr>
          <w:rFonts w:ascii="Times New Roman" w:cs="Times New Roman" w:eastAsia="Times New Roman" w:hAnsi="Times New Roman"/>
          <w:sz w:val="17"/>
          <w:szCs w:val="17"/>
          <w:color w:val="auto"/>
        </w:rPr>
      </w:pPr>
    </w:p>
    <w:p>
      <w:pPr>
        <w:ind w:right="20"/>
        <w:spacing w:after="0" w:line="256" w:lineRule="auto"/>
        <w:tabs>
          <w:tab w:leader="none" w:pos="4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members of the Company Group as a whole or any divisions or operational and/or business units, product lines, brands, business segments, or administrative departments of the Company and/or one or more members of the Company Group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381" w:lineRule="exact"/>
        <w:rPr>
          <w:rFonts w:ascii="Times New Roman" w:cs="Times New Roman" w:eastAsia="Times New Roman" w:hAnsi="Times New Roman"/>
          <w:sz w:val="17"/>
          <w:szCs w:val="17"/>
          <w:color w:val="auto"/>
        </w:rPr>
      </w:pPr>
    </w:p>
    <w:p>
      <w:pPr>
        <w:ind w:left="840" w:hanging="417"/>
        <w:spacing w:after="0"/>
        <w:tabs>
          <w:tab w:leader="none" w:pos="8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Permitted Transferee</w:t>
      </w:r>
      <w:r>
        <w:rPr>
          <w:rFonts w:ascii="Times New Roman" w:cs="Times New Roman" w:eastAsia="Times New Roman" w:hAnsi="Times New Roman"/>
          <w:sz w:val="17"/>
          <w:szCs w:val="17"/>
          <w:color w:val="auto"/>
        </w:rPr>
        <w:t>” has the meaning given to such term in Section 14(b)(ii) of the Plan.</w:t>
      </w:r>
    </w:p>
    <w:p>
      <w:pPr>
        <w:spacing w:after="0" w:line="218"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Person</w:t>
      </w:r>
      <w:r>
        <w:rPr>
          <w:rFonts w:ascii="Times New Roman" w:cs="Times New Roman" w:eastAsia="Times New Roman" w:hAnsi="Times New Roman"/>
          <w:sz w:val="17"/>
          <w:szCs w:val="17"/>
          <w:color w:val="auto"/>
        </w:rPr>
        <w:t>” means any individual, entity, or group (within the meaning of Section 13(d)(3) or 14(d)(2) of the Exchange Act).</w:t>
      </w:r>
    </w:p>
    <w:p>
      <w:pPr>
        <w:spacing w:after="0" w:line="218"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Plan</w:t>
      </w:r>
      <w:r>
        <w:rPr>
          <w:rFonts w:ascii="Times New Roman" w:cs="Times New Roman" w:eastAsia="Times New Roman" w:hAnsi="Times New Roman"/>
          <w:sz w:val="17"/>
          <w:szCs w:val="17"/>
          <w:color w:val="auto"/>
        </w:rPr>
        <w:t>” means this Medline Inc. 2025 Omnibus Incentive Plan, as it may be amended and/or restated from time to time.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60"/>
          </w:cols>
          <w:pgMar w:left="660" w:top="262" w:right="679" w:bottom="1440" w:gutter="0" w:footer="0" w:header="0"/>
        </w:sectPr>
      </w:pPr>
    </w:p>
    <w:bookmarkStart w:id="13" w:name="page14"/>
    <w:bookmarkEnd w:id="13"/>
    <w:p>
      <w:pPr>
        <w:ind w:left="-80" w:right="100" w:firstLine="423"/>
        <w:spacing w:after="0" w:line="294" w:lineRule="auto"/>
        <w:tabs>
          <w:tab w:leader="none" w:pos="6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Qualifying Director</w:t>
      </w:r>
      <w:r>
        <w:rPr>
          <w:rFonts w:ascii="Times New Roman" w:cs="Times New Roman" w:eastAsia="Times New Roman" w:hAnsi="Times New Roman"/>
          <w:sz w:val="17"/>
          <w:szCs w:val="17"/>
          <w:color w:val="auto"/>
        </w:rPr>
        <w:t>” means a Person who is, with respect to actions intended to obtain an exemption from Section 16(b) of the Exchange Act pursuant to Rule 16b-3 under the Exchange Act, a “non-employee director” within the meaning of Rule 16b-3 under the Exchange Act.</w:t>
      </w:r>
    </w:p>
    <w:p>
      <w:pPr>
        <w:spacing w:after="0" w:line="142" w:lineRule="exact"/>
        <w:rPr>
          <w:rFonts w:ascii="Times New Roman" w:cs="Times New Roman" w:eastAsia="Times New Roman" w:hAnsi="Times New Roman"/>
          <w:sz w:val="17"/>
          <w:szCs w:val="17"/>
          <w:color w:val="auto"/>
        </w:rPr>
      </w:pPr>
    </w:p>
    <w:p>
      <w:pPr>
        <w:ind w:left="-80" w:right="360" w:firstLine="423"/>
        <w:spacing w:after="0" w:line="294" w:lineRule="auto"/>
        <w:tabs>
          <w:tab w:leader="none" w:pos="6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Period</w:t>
      </w:r>
      <w:r>
        <w:rPr>
          <w:rFonts w:ascii="Times New Roman" w:cs="Times New Roman" w:eastAsia="Times New Roman" w:hAnsi="Times New Roman"/>
          <w:sz w:val="17"/>
          <w:szCs w:val="17"/>
          <w:color w:val="auto"/>
        </w:rPr>
        <w:t>” means the period of time determined by the Committee during which an Award is subject to restrictions, including vesting conditions.</w:t>
      </w:r>
    </w:p>
    <w:p>
      <w:pPr>
        <w:spacing w:after="0" w:line="142" w:lineRule="exact"/>
        <w:rPr>
          <w:rFonts w:ascii="Times New Roman" w:cs="Times New Roman" w:eastAsia="Times New Roman" w:hAnsi="Times New Roman"/>
          <w:sz w:val="17"/>
          <w:szCs w:val="17"/>
          <w:color w:val="auto"/>
        </w:rPr>
      </w:pPr>
    </w:p>
    <w:p>
      <w:pPr>
        <w:ind w:left="-80" w:firstLine="423"/>
        <w:spacing w:after="0" w:line="294"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Stock</w:t>
      </w:r>
      <w:r>
        <w:rPr>
          <w:rFonts w:ascii="Times New Roman" w:cs="Times New Roman" w:eastAsia="Times New Roman" w:hAnsi="Times New Roman"/>
          <w:sz w:val="17"/>
          <w:szCs w:val="17"/>
          <w:color w:val="auto"/>
        </w:rPr>
        <w:t>” means Common Stock, subject to certain specified restrictions (which may include, without limitation, a requirement that the Participant remain continuously employed or provide continuous services for a specified period of time), granted under Section 9 of the Plan.</w:t>
      </w:r>
    </w:p>
    <w:p>
      <w:pPr>
        <w:spacing w:after="0" w:line="142" w:lineRule="exact"/>
        <w:rPr>
          <w:rFonts w:ascii="Times New Roman" w:cs="Times New Roman" w:eastAsia="Times New Roman" w:hAnsi="Times New Roman"/>
          <w:sz w:val="17"/>
          <w:szCs w:val="17"/>
          <w:color w:val="auto"/>
        </w:rPr>
      </w:pPr>
    </w:p>
    <w:p>
      <w:pPr>
        <w:jc w:val="both"/>
        <w:ind w:left="-80" w:right="360" w:firstLine="423"/>
        <w:spacing w:after="0" w:line="274"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Stock Unit</w:t>
      </w:r>
      <w:r>
        <w:rPr>
          <w:rFonts w:ascii="Times New Roman" w:cs="Times New Roman" w:eastAsia="Times New Roman" w:hAnsi="Times New Roman"/>
          <w:sz w:val="17"/>
          <w:szCs w:val="17"/>
          <w:color w:val="auto"/>
        </w:rPr>
        <w:t>” means an unfunded and unsecured promise to deliver shares of Common Stock, cash, other securities, or other property, subject to certain restrictions (which may include, without limitation, a requirement that the Participant remain continuously employed or provide continuous services for a specified period of time), granted under Section 9 of the Plan.</w:t>
      </w:r>
    </w:p>
    <w:p>
      <w:pPr>
        <w:spacing w:after="0" w:line="159" w:lineRule="exact"/>
        <w:rPr>
          <w:rFonts w:ascii="Times New Roman" w:cs="Times New Roman" w:eastAsia="Times New Roman" w:hAnsi="Times New Roman"/>
          <w:sz w:val="17"/>
          <w:szCs w:val="17"/>
          <w:color w:val="auto"/>
        </w:rPr>
      </w:pPr>
    </w:p>
    <w:p>
      <w:pPr>
        <w:ind w:left="600" w:hanging="25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SAR Period</w:t>
      </w:r>
      <w:r>
        <w:rPr>
          <w:rFonts w:ascii="Times New Roman" w:cs="Times New Roman" w:eastAsia="Times New Roman" w:hAnsi="Times New Roman"/>
          <w:sz w:val="17"/>
          <w:szCs w:val="17"/>
          <w:color w:val="auto"/>
        </w:rPr>
        <w:t>” has the meaning given to such term in Section 8(c)(i) of the Plan.</w:t>
      </w:r>
    </w:p>
    <w:p>
      <w:pPr>
        <w:spacing w:after="0" w:line="218" w:lineRule="exact"/>
        <w:rPr>
          <w:rFonts w:ascii="Times New Roman" w:cs="Times New Roman" w:eastAsia="Times New Roman" w:hAnsi="Times New Roman"/>
          <w:sz w:val="17"/>
          <w:szCs w:val="17"/>
          <w:color w:val="auto"/>
        </w:rPr>
      </w:pPr>
    </w:p>
    <w:p>
      <w:pPr>
        <w:ind w:left="-80" w:right="40" w:firstLine="423"/>
        <w:spacing w:after="0" w:line="274" w:lineRule="auto"/>
        <w:tabs>
          <w:tab w:leader="none" w:pos="6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means the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guidance.</w:t>
      </w:r>
    </w:p>
    <w:p>
      <w:pPr>
        <w:spacing w:after="0" w:line="159" w:lineRule="exact"/>
        <w:rPr>
          <w:rFonts w:ascii="Times New Roman" w:cs="Times New Roman" w:eastAsia="Times New Roman" w:hAnsi="Times New Roman"/>
          <w:sz w:val="17"/>
          <w:szCs w:val="17"/>
          <w:color w:val="auto"/>
        </w:rPr>
      </w:pPr>
    </w:p>
    <w:p>
      <w:pPr>
        <w:ind w:left="-80" w:right="160" w:firstLine="423"/>
        <w:spacing w:after="0" w:line="274" w:lineRule="auto"/>
        <w:tabs>
          <w:tab w:leader="none" w:pos="6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Service Recipient</w:t>
      </w:r>
      <w:r>
        <w:rPr>
          <w:rFonts w:ascii="Times New Roman" w:cs="Times New Roman" w:eastAsia="Times New Roman" w:hAnsi="Times New Roman"/>
          <w:sz w:val="17"/>
          <w:szCs w:val="17"/>
          <w:color w:val="auto"/>
        </w:rPr>
        <w:t>” means, with respect to a Participant holding a given Award, the member of the Company Group by which the original recipient of such Award is, or following a Termination was most recently, principally employed or to which such original recipient provides, or following a Termination was most recently providing, services, as applicable.</w:t>
      </w:r>
    </w:p>
    <w:p>
      <w:pPr>
        <w:spacing w:after="0" w:line="159" w:lineRule="exact"/>
        <w:rPr>
          <w:rFonts w:ascii="Times New Roman" w:cs="Times New Roman" w:eastAsia="Times New Roman" w:hAnsi="Times New Roman"/>
          <w:sz w:val="17"/>
          <w:szCs w:val="17"/>
          <w:color w:val="auto"/>
        </w:rPr>
      </w:pPr>
    </w:p>
    <w:p>
      <w:pPr>
        <w:ind w:left="760" w:hanging="417"/>
        <w:spacing w:after="0"/>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u w:val="single" w:color="auto"/>
          <w:color w:val="auto"/>
        </w:rPr>
        <w:t>SAR</w:t>
      </w:r>
      <w:r>
        <w:rPr>
          <w:rFonts w:ascii="Times New Roman" w:cs="Times New Roman" w:eastAsia="Times New Roman" w:hAnsi="Times New Roman"/>
          <w:sz w:val="17"/>
          <w:szCs w:val="17"/>
          <w:color w:val="auto"/>
        </w:rPr>
        <w:t>” means an Award granted under Section 8 of the Plan.</w:t>
      </w:r>
    </w:p>
    <w:p>
      <w:pPr>
        <w:spacing w:after="0" w:line="218" w:lineRule="exact"/>
        <w:rPr>
          <w:rFonts w:ascii="Times New Roman" w:cs="Times New Roman" w:eastAsia="Times New Roman" w:hAnsi="Times New Roman"/>
          <w:sz w:val="17"/>
          <w:szCs w:val="17"/>
          <w:color w:val="auto"/>
        </w:rPr>
      </w:pPr>
    </w:p>
    <w:p>
      <w:pPr>
        <w:ind w:left="680" w:hanging="337"/>
        <w:spacing w:after="0"/>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Strike Price</w:t>
      </w:r>
      <w:r>
        <w:rPr>
          <w:rFonts w:ascii="Times New Roman" w:cs="Times New Roman" w:eastAsia="Times New Roman" w:hAnsi="Times New Roman"/>
          <w:sz w:val="17"/>
          <w:szCs w:val="17"/>
          <w:color w:val="auto"/>
        </w:rPr>
        <w:t>” has the meaning given to such term in Section 8(b) of the Plan.</w:t>
      </w:r>
    </w:p>
    <w:p>
      <w:pPr>
        <w:spacing w:after="0" w:line="218" w:lineRule="exact"/>
        <w:rPr>
          <w:rFonts w:ascii="Times New Roman" w:cs="Times New Roman" w:eastAsia="Times New Roman" w:hAnsi="Times New Roman"/>
          <w:sz w:val="17"/>
          <w:szCs w:val="17"/>
          <w:color w:val="auto"/>
        </w:rPr>
      </w:pPr>
    </w:p>
    <w:p>
      <w:pPr>
        <w:ind w:left="-80" w:right="80" w:firstLine="423"/>
        <w:spacing w:after="0" w:line="264" w:lineRule="auto"/>
        <w:tabs>
          <w:tab w:leader="none" w:pos="67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Sub-Plans</w:t>
      </w:r>
      <w:r>
        <w:rPr>
          <w:rFonts w:ascii="Times New Roman" w:cs="Times New Roman" w:eastAsia="Times New Roman" w:hAnsi="Times New Roman"/>
          <w:sz w:val="17"/>
          <w:szCs w:val="17"/>
          <w:color w:val="auto"/>
        </w:rPr>
        <w:t>” means any sub-plan to the Plan that has been adopted by the Board or the Committee for the purpose of permitting or facilitating the offering of Awards to employees of certain Designated Foreign Subsidiaries or otherwise outside the jurisdiction of the United States of America, with each such Sub-Plan designed to comply with Applicable Law in such foreign jurisdictions. Although any Sub-Plan may be designated a separate and independent plan from the Plan in order to comply with Applicable Law, the Absolute Share Limit and the other limits specified in Section 5(b) of the Plan shall apply in the aggregate to the Plan and any Sub-Plan adopted hereunder.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420"/>
          </w:cols>
          <w:pgMar w:left="740" w:top="262" w:right="739" w:bottom="1440" w:gutter="0" w:footer="0" w:header="0"/>
        </w:sectPr>
      </w:pPr>
    </w:p>
    <w:bookmarkStart w:id="14" w:name="page15"/>
    <w:bookmarkEnd w:id="14"/>
    <w:p>
      <w:pPr>
        <w:ind w:left="740" w:hanging="317"/>
        <w:spacing w:after="0"/>
        <w:tabs>
          <w:tab w:leader="none" w:pos="7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means, with respect to any specified Person:</w:t>
      </w:r>
    </w:p>
    <w:p>
      <w:pPr>
        <w:spacing w:after="0" w:line="117" w:lineRule="exact"/>
        <w:rPr>
          <w:rFonts w:ascii="Times New Roman" w:cs="Times New Roman" w:eastAsia="Times New Roman" w:hAnsi="Times New Roman"/>
          <w:sz w:val="17"/>
          <w:szCs w:val="17"/>
          <w:color w:val="auto"/>
        </w:rPr>
      </w:pPr>
    </w:p>
    <w:p>
      <w:pPr>
        <w:ind w:left="420" w:right="20" w:firstLine="409"/>
        <w:spacing w:after="0" w:line="266" w:lineRule="auto"/>
        <w:tabs>
          <w:tab w:leader="none" w:pos="1032"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association, or other business entity of which more than 50% of the total voting power of shares of such entity’s voting securities (without regard to the occurrence of any contingency and after giving effect to any voting agreement or stockholders’ agreement that effectively transfers voting power) is at the time owned or controlled, directly or indirectly, by that Person or one or more of the other Subsidiaries of that Person (or a combination thereof); and</w:t>
      </w:r>
    </w:p>
    <w:p>
      <w:pPr>
        <w:spacing w:after="0" w:line="65" w:lineRule="exact"/>
        <w:rPr>
          <w:rFonts w:ascii="Times New Roman" w:cs="Times New Roman" w:eastAsia="Times New Roman" w:hAnsi="Times New Roman"/>
          <w:sz w:val="17"/>
          <w:szCs w:val="17"/>
          <w:color w:val="auto"/>
        </w:rPr>
      </w:pPr>
    </w:p>
    <w:p>
      <w:pPr>
        <w:ind w:left="420" w:firstLine="409"/>
        <w:spacing w:after="0" w:line="273" w:lineRule="auto"/>
        <w:tabs>
          <w:tab w:leader="none" w:pos="10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partnership (or any comparable foreign entity) (A) the sole general partner (or functional equivalent thereof) or the managing general partner of which is such Person or Subsidiary of such Person or (B) the only general partners (or functional equivalents thereof) of which are that Person or one or more Subsidiaries of that Person (or any combination thereof).</w:t>
      </w:r>
    </w:p>
    <w:p>
      <w:pPr>
        <w:spacing w:after="0" w:line="160" w:lineRule="exact"/>
        <w:rPr>
          <w:sz w:val="20"/>
          <w:szCs w:val="20"/>
          <w:color w:val="auto"/>
        </w:rPr>
      </w:pPr>
    </w:p>
    <w:p>
      <w:pPr>
        <w:ind w:left="820" w:hanging="397"/>
        <w:spacing w:after="0"/>
        <w:tabs>
          <w:tab w:leader="none" w:pos="8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Substitute Awards</w:t>
      </w:r>
      <w:r>
        <w:rPr>
          <w:rFonts w:ascii="Times New Roman" w:cs="Times New Roman" w:eastAsia="Times New Roman" w:hAnsi="Times New Roman"/>
          <w:sz w:val="17"/>
          <w:szCs w:val="17"/>
          <w:color w:val="auto"/>
        </w:rPr>
        <w:t>” has the meaning given to such term in Section 5(e) of the Plan.</w:t>
      </w:r>
    </w:p>
    <w:p>
      <w:pPr>
        <w:spacing w:after="0" w:line="218" w:lineRule="exact"/>
        <w:rPr>
          <w:rFonts w:ascii="Times New Roman" w:cs="Times New Roman" w:eastAsia="Times New Roman" w:hAnsi="Times New Roman"/>
          <w:sz w:val="17"/>
          <w:szCs w:val="17"/>
          <w:color w:val="auto"/>
        </w:rPr>
      </w:pPr>
    </w:p>
    <w:p>
      <w:pPr>
        <w:ind w:right="320" w:firstLine="423"/>
        <w:spacing w:after="0" w:line="294" w:lineRule="auto"/>
        <w:tabs>
          <w:tab w:leader="none" w:pos="83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color w:val="auto"/>
        </w:rPr>
        <w:t>” means the termination of a Participant’s employment or service, as applicable, with the Service Recipient for any reason (including death or Disability).</w:t>
      </w:r>
    </w:p>
    <w:p>
      <w:pPr>
        <w:spacing w:after="0" w:line="143" w:lineRule="exact"/>
        <w:rPr>
          <w:sz w:val="20"/>
          <w:szCs w:val="20"/>
          <w:color w:val="auto"/>
        </w:rPr>
      </w:pPr>
    </w:p>
    <w:p>
      <w:pPr>
        <w:ind w:right="160" w:firstLine="423"/>
        <w:spacing w:after="0" w:line="274" w:lineRule="auto"/>
        <w:tabs>
          <w:tab w:leader="none" w:pos="59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Effective Date; Duration</w:t>
      </w:r>
      <w:r>
        <w:rPr>
          <w:rFonts w:ascii="Times New Roman" w:cs="Times New Roman" w:eastAsia="Times New Roman" w:hAnsi="Times New Roman"/>
          <w:sz w:val="17"/>
          <w:szCs w:val="17"/>
          <w:color w:val="auto"/>
        </w:rPr>
        <w:t>. The Plan shall be effective as of the Effective Date. The expiration date of the Plan, on and after which date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Awards may be granted hereunder, shall be the tenth anniversary of the Effective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expiration shall not affect Awards then outstanding, and the terms and conditions of the Plan shall continue to apply to such Awards.</w:t>
      </w:r>
    </w:p>
    <w:p>
      <w:pPr>
        <w:spacing w:after="0" w:line="159" w:lineRule="exact"/>
        <w:rPr>
          <w:rFonts w:ascii="Times New Roman" w:cs="Times New Roman" w:eastAsia="Times New Roman" w:hAnsi="Times New Roman"/>
          <w:sz w:val="17"/>
          <w:szCs w:val="17"/>
          <w:b w:val="1"/>
          <w:bCs w:val="1"/>
          <w:color w:val="auto"/>
        </w:rPr>
      </w:pPr>
    </w:p>
    <w:p>
      <w:pPr>
        <w:ind w:left="600" w:hanging="177"/>
        <w:spacing w:after="0"/>
        <w:tabs>
          <w:tab w:leader="none" w:pos="6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Administration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40" w:firstLine="423"/>
        <w:spacing w:after="0" w:line="263" w:lineRule="auto"/>
        <w:tabs>
          <w:tab w:leader="none" w:pos="65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Committee shall administer the Plan. To the extent required to comply with the provisions of Rule 16b-3 promulgated under the Exchange Act (if the Board is not acting as the Committee under the Plan), it is intended that each member of the Committee shall, at the time such member takes any action with respect to an Award under the Plan that is intended to qualify for the exemptions provided by Rule 16b-3 promulgated under the Exchange Act, be a Qualifying Director. However, the fact that a Committee member shall fail to qualify as a Qualifying Director shall not invalidate any Award granted by the Committee that is otherwise validly granted under the Plan.</w:t>
      </w:r>
    </w:p>
    <w:p>
      <w:pPr>
        <w:spacing w:after="0" w:line="172" w:lineRule="exact"/>
        <w:rPr>
          <w:rFonts w:ascii="Times New Roman" w:cs="Times New Roman" w:eastAsia="Times New Roman" w:hAnsi="Times New Roman"/>
          <w:sz w:val="17"/>
          <w:szCs w:val="17"/>
          <w:color w:val="auto"/>
        </w:rPr>
      </w:pPr>
    </w:p>
    <w:p>
      <w:pPr>
        <w:ind w:right="120" w:firstLine="423"/>
        <w:spacing w:after="0" w:line="260" w:lineRule="auto"/>
        <w:tabs>
          <w:tab w:leader="none" w:pos="66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 Authority</w:t>
      </w:r>
      <w:r>
        <w:rPr>
          <w:rFonts w:ascii="Times New Roman" w:cs="Times New Roman" w:eastAsia="Times New Roman" w:hAnsi="Times New Roman"/>
          <w:sz w:val="17"/>
          <w:szCs w:val="17"/>
          <w:color w:val="auto"/>
        </w:rPr>
        <w:t>. Subject to the provisions of the Plan and Applicable Law, the Committee shall have the sole and plenary authority, in addition to other express powers and authorizations conferred on the Committee by the Plan,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or OP Units, as applicable, other securities, other Awards, or other property, or canceled, forfeited, or suspended and the method or methods by which Awards may be settled, exercised, canceled, forfeited, or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60"/>
          </w:cols>
          <w:pgMar w:left="660" w:top="262" w:right="679" w:bottom="1440" w:gutter="0" w:footer="0" w:header="0"/>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suspended; (vi) determine whether, to what extent, and under what circumstances the delivery of cash, shares of Common Stock, other securities, other Awards, or other property and other amounts payable with respect to an Award shall be deferred either automatically or at the election of the Participant or of the Committee; (vii) interpret, administer, reconcile any inconsistency in, correct any defect in, and/or supply any omission in the Plan and any instrument or agreement relating to, or Award granted under, the Plan; (viii) establish, amend, suspend, or waive any rules and regulations and appoint such agents as the Committee shall deem appropriate for the proper administration of the Plan; (ix) adopt Sub-Plans; and (x) make any other determination and take any other action that the Committee deems necessary or desirable for the administration of the Plan.</w:t>
      </w:r>
    </w:p>
    <w:p>
      <w:pPr>
        <w:spacing w:after="0" w:line="175" w:lineRule="exact"/>
        <w:rPr>
          <w:sz w:val="20"/>
          <w:szCs w:val="20"/>
          <w:color w:val="auto"/>
        </w:rPr>
      </w:pPr>
    </w:p>
    <w:p>
      <w:pPr>
        <w:ind w:firstLine="423"/>
        <w:spacing w:after="0" w:line="258" w:lineRule="auto"/>
        <w:tabs>
          <w:tab w:leader="none" w:pos="65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Except to the extent prohibited by Applicable Law,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any member of the Company Group the authority to act on behalf of the Committee with respect to any matter, right, obligation, or election which is the responsibility of, or which is allocated to, the Committee herein, and which may be so delegated in accordance with Applicable Law, except for grants of Awards to Non-Employee Directors. Notwithstanding the foregoing in this Section 4(c), it is intended that any action under the Plan intended to qualify for an exemption provided by Rule 16b-3 promulgated under the Exchange Act related to Persons who are subject to Section 16 of the Exchange Act will be taken only by the Board or by a committee or subcommittee of two or more Qualifying Directors. However, the fact that any member of such committee or subcommittee shall fail to qualify as a Qualifying Director shall not invalidate any action that is otherwise valid under the Plan.</w:t>
      </w:r>
    </w:p>
    <w:p>
      <w:pPr>
        <w:spacing w:after="0" w:line="177" w:lineRule="exact"/>
        <w:rPr>
          <w:rFonts w:ascii="Times New Roman" w:cs="Times New Roman" w:eastAsia="Times New Roman" w:hAnsi="Times New Roman"/>
          <w:sz w:val="17"/>
          <w:szCs w:val="17"/>
          <w:color w:val="auto"/>
        </w:rPr>
      </w:pPr>
    </w:p>
    <w:p>
      <w:pPr>
        <w:jc w:val="both"/>
        <w:ind w:right="220" w:firstLine="423"/>
        <w:spacing w:after="0" w:line="266" w:lineRule="auto"/>
        <w:tabs>
          <w:tab w:leader="none" w:pos="66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Finality of Decisions</w:t>
      </w:r>
      <w:r>
        <w:rPr>
          <w:rFonts w:ascii="Times New Roman" w:cs="Times New Roman" w:eastAsia="Times New Roman" w:hAnsi="Times New Roman"/>
          <w:sz w:val="17"/>
          <w:szCs w:val="17"/>
          <w:color w:val="auto"/>
        </w:rPr>
        <w:t>. Unless otherwise expressly provided in the Plan, all designations, determinations, interpretations, and other decisions under or with respect to the Plan, any Award or any Award Agreement shall be within the sole discretion of the Committee, may be made at any time, and shall be final, conclusive, and binding upon all Persons, including, without limitation, any member of the Company Group, any Participant, any holder or beneficiary of any Award, and any stockholder of the Company.</w:t>
      </w:r>
    </w:p>
    <w:p>
      <w:pPr>
        <w:spacing w:after="0" w:line="169" w:lineRule="exact"/>
        <w:rPr>
          <w:rFonts w:ascii="Times New Roman" w:cs="Times New Roman" w:eastAsia="Times New Roman" w:hAnsi="Times New Roman"/>
          <w:sz w:val="17"/>
          <w:szCs w:val="17"/>
          <w:color w:val="auto"/>
        </w:rPr>
      </w:pPr>
    </w:p>
    <w:p>
      <w:pPr>
        <w:ind w:firstLine="423"/>
        <w:spacing w:after="0" w:line="259" w:lineRule="auto"/>
        <w:tabs>
          <w:tab w:leader="none" w:pos="65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No member of the Board or the Committee or any employee or agent of any member of the Company Group (each such Person, an “</w:t>
      </w:r>
      <w:r>
        <w:rPr>
          <w:rFonts w:ascii="Times New Roman" w:cs="Times New Roman" w:eastAsia="Times New Roman" w:hAnsi="Times New Roman"/>
          <w:sz w:val="17"/>
          <w:szCs w:val="17"/>
          <w:b w:val="1"/>
          <w:bCs w:val="1"/>
          <w:u w:val="single" w:color="auto"/>
          <w:color w:val="auto"/>
        </w:rPr>
        <w:t>Indemnifiable Person</w:t>
      </w:r>
      <w:r>
        <w:rPr>
          <w:rFonts w:ascii="Times New Roman" w:cs="Times New Roman" w:eastAsia="Times New Roman" w:hAnsi="Times New Roman"/>
          <w:sz w:val="17"/>
          <w:szCs w:val="17"/>
          <w:color w:val="auto"/>
        </w:rPr>
        <w:t>”) shall be liable for any action taken or omitted to be taken or any determination made with respect to the Plan or any Award hereunder (unless constituting fraud or a willful criminal act or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a party or in which such Indemnifiable Person may be involved by reason of any action taken or omitted to be taken or determination made with respect to the Plan or any Award hereunder and against and from any and all amounts paid by such Indemnifiable Person with the Company’s approval, in settlement thereof, or paid by such Indemnifiable Person in satisfaction of any judgment in any such action, suit, or proceeding against such Indemnifiable Person, and the Company shall advance to such</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60"/>
          </w:cols>
          <w:pgMar w:left="660" w:top="264" w:right="679" w:bottom="1440" w:gutter="0" w:footer="0" w:header="0"/>
        </w:sectPr>
      </w:pPr>
    </w:p>
    <w:bookmarkStart w:id="16" w:name="page17"/>
    <w:bookmarkEnd w:id="16"/>
    <w:p>
      <w:pPr>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omissions, or determinations of such Indemnifiable Person giving rise to the indemnification claim resulted from such Indemnifiable Person’s fraud or willful criminal act or omission or that such right of indemnification is otherwise prohibited by Applicable Law or by the organizational documents of any member of the Company Group. The foregoing right of indemnification shall not be exclusive of or otherwise supersede any other rights of indemnification to which such Indemnifiable Persons may be entitled under the organizational documents of any member of the Company Group, as a matter of Applicable Law, under an individual indemnification agreement or contract, or otherwise, or any other power that the Company may have to indemnify such Indemnifiable Persons or hold such Indemnifiable Persons harmless.</w:t>
      </w:r>
    </w:p>
    <w:p>
      <w:pPr>
        <w:spacing w:after="0" w:line="182" w:lineRule="exact"/>
        <w:rPr>
          <w:sz w:val="20"/>
          <w:szCs w:val="20"/>
          <w:color w:val="auto"/>
        </w:rPr>
      </w:pPr>
    </w:p>
    <w:p>
      <w:pPr>
        <w:ind w:right="120" w:firstLine="423"/>
        <w:spacing w:after="0" w:line="273" w:lineRule="auto"/>
        <w:tabs>
          <w:tab w:leader="none" w:pos="63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Board Authority</w:t>
      </w:r>
      <w:r>
        <w:rPr>
          <w:rFonts w:ascii="Times New Roman" w:cs="Times New Roman" w:eastAsia="Times New Roman" w:hAnsi="Times New Roman"/>
          <w:sz w:val="17"/>
          <w:szCs w:val="17"/>
          <w:color w:val="auto"/>
        </w:rPr>
        <w:t>. Notwithstanding anything to the contrary contained in the Plan, the Board may, in its sole discretion, at any time and from time to time, grant Awards and administer the Plan with respect to such Awards. Any such actions by the Board shall be subject to Applicable Law. In any such case, the Board shall have all the authority granted to the Committee under the Plan.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5. Grant of Awards; Shares Subject to the Plan; Limitations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80" w:firstLine="423"/>
        <w:spacing w:after="0" w:line="273" w:lineRule="auto"/>
        <w:tabs>
          <w:tab w:leader="none" w:pos="65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Grants</w:t>
      </w:r>
      <w:r>
        <w:rPr>
          <w:rFonts w:ascii="Times New Roman" w:cs="Times New Roman" w:eastAsia="Times New Roman" w:hAnsi="Times New Roman"/>
          <w:sz w:val="17"/>
          <w:szCs w:val="17"/>
          <w:color w:val="auto"/>
        </w:rPr>
        <w:t>. The Committee may, from time to time, grant Awards to one or more Eligible Persons. All Awards granted under the Plan shall vest and become exercisable (if applicable) in such manner and on such date or dates or upon such event or events as determined by the Committee, including, without limitation, attainment of Performance Conditions.</w:t>
      </w:r>
    </w:p>
    <w:p>
      <w:pPr>
        <w:spacing w:after="0" w:line="161" w:lineRule="exact"/>
        <w:rPr>
          <w:rFonts w:ascii="Times New Roman" w:cs="Times New Roman" w:eastAsia="Times New Roman" w:hAnsi="Times New Roman"/>
          <w:sz w:val="17"/>
          <w:szCs w:val="17"/>
          <w:color w:val="auto"/>
        </w:rPr>
      </w:pPr>
    </w:p>
    <w:p>
      <w:pPr>
        <w:ind w:firstLine="423"/>
        <w:spacing w:after="0" w:line="258" w:lineRule="auto"/>
        <w:tabs>
          <w:tab w:leader="none" w:pos="66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Reserve and Limits</w:t>
      </w:r>
      <w:r>
        <w:rPr>
          <w:rFonts w:ascii="Times New Roman" w:cs="Times New Roman" w:eastAsia="Times New Roman" w:hAnsi="Times New Roman"/>
          <w:sz w:val="17"/>
          <w:szCs w:val="17"/>
          <w:color w:val="auto"/>
        </w:rPr>
        <w:t>. Awards granted under the Plan shall be subject to the following limitations: (i) subject to Section 12 of the Plan, no more than 60,000,000 shares of Common Stock (the “</w:t>
      </w:r>
      <w:r>
        <w:rPr>
          <w:rFonts w:ascii="Times New Roman" w:cs="Times New Roman" w:eastAsia="Times New Roman" w:hAnsi="Times New Roman"/>
          <w:sz w:val="17"/>
          <w:szCs w:val="17"/>
          <w:b w:val="1"/>
          <w:bCs w:val="1"/>
          <w:u w:val="single" w:color="auto"/>
          <w:color w:val="auto"/>
        </w:rPr>
        <w:t>Absolute Share Limit</w:t>
      </w:r>
      <w:r>
        <w:rPr>
          <w:rFonts w:ascii="Times New Roman" w:cs="Times New Roman" w:eastAsia="Times New Roman" w:hAnsi="Times New Roman"/>
          <w:sz w:val="17"/>
          <w:szCs w:val="17"/>
          <w:color w:val="auto"/>
        </w:rPr>
        <w:t xml:space="preserve">”) shall be available for Awards under the Plan (excluding those shares of Common Stock received, or to be received by, Participants in connection with any exchange for, conversion into, redemption of, or substitution for OP Units or for such other equity or equity-based awards issued by the Operating Company (or a predecessor or affiliate thereof) and exchangeable for, convertible into or redeemable or substitutable for, shares of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Absolute Share Limit shall be automatically increased on the first day of each fiscal year following the fiscal year in which the Effective Date falls beginning on the first day of the fiscal year following the fiscal year in which the Effective Date falls (the “</w:t>
      </w:r>
      <w:r>
        <w:rPr>
          <w:rFonts w:ascii="Times New Roman" w:cs="Times New Roman" w:eastAsia="Times New Roman" w:hAnsi="Times New Roman"/>
          <w:sz w:val="17"/>
          <w:szCs w:val="17"/>
          <w:b w:val="1"/>
          <w:bCs w:val="1"/>
          <w:u w:val="single" w:color="auto"/>
          <w:color w:val="auto"/>
        </w:rPr>
        <w:t>First Increase Date</w:t>
      </w:r>
      <w:r>
        <w:rPr>
          <w:rFonts w:ascii="Times New Roman" w:cs="Times New Roman" w:eastAsia="Times New Roman" w:hAnsi="Times New Roman"/>
          <w:sz w:val="17"/>
          <w:szCs w:val="17"/>
          <w:color w:val="auto"/>
        </w:rPr>
        <w:t>”) and ending with a final increase on the nine (9)-year anniversary of the First Increase Date in an amount equal to the least of (x) 54,000,000 shares of Common Stock, (y) 4% of the total number of shares of Common Stock outstanding on the last day of the immediately preceding fiscal year, and (z) a lower number of shares of Common Stock as determined by the Board; (ii) subject to Section 12</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480"/>
          </w:cols>
          <w:pgMar w:left="660" w:top="264" w:right="759" w:bottom="1440" w:gutter="0" w:footer="0" w:header="0"/>
        </w:sectPr>
      </w:pPr>
    </w:p>
    <w:bookmarkStart w:id="17" w:name="page18"/>
    <w:bookmarkEnd w:id="17"/>
    <w:p>
      <w:pPr>
        <w:ind w:right="60"/>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of the Plan, no more than the number of shares of Common Stock equal to the Absolute Share Limit may be issued in the aggregate pursuant to the exercise of Incentive Stock Options granted under the Plan; and (iii) during a single fiscal year, each Non-Employee Director shall be granted a number of shares of Common Stock subject to Awards for service on the Board, taken together with any cash fees paid to such Non-Employee Director during such fiscal year for service on the Board, equal to (A) a total value of $1,000,000 (calculating the value of any such Awards based on the grant date fair value of such Awards for financial reporting purposes) or (B) such lower amount as determined by the Board prior to the Date of Grant, either as part of the Company’s Non-Employee Director compensation program or as otherwise determined by the Board in the event of any change to such Non-Employee Director’s compensation program or for any particular period of service. To the extent the Board makes a determination pursuant to clause (iii)(B) above with respect to any year of service, such determination shall in no event be applicable to any subsequent year of service without a further determination by the Board in respect of any subsequent year of service. Unless the Committee shall otherwise determine, shares of Common Stock delivered by the Company or its Affiliates upon exchange of OP Units or other equity securities of any Subsidiary of the Company that have been issued under the Plan shall be issued under the Plan.</w:t>
      </w:r>
    </w:p>
    <w:p>
      <w:pPr>
        <w:spacing w:after="0" w:line="175" w:lineRule="exact"/>
        <w:rPr>
          <w:sz w:val="20"/>
          <w:szCs w:val="20"/>
          <w:color w:val="auto"/>
        </w:rPr>
      </w:pPr>
    </w:p>
    <w:p>
      <w:pPr>
        <w:ind w:right="60" w:firstLine="423"/>
        <w:spacing w:after="0" w:line="259" w:lineRule="auto"/>
        <w:tabs>
          <w:tab w:leader="none" w:pos="6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Counting</w:t>
      </w:r>
      <w:r>
        <w:rPr>
          <w:rFonts w:ascii="Times New Roman" w:cs="Times New Roman" w:eastAsia="Times New Roman" w:hAnsi="Times New Roman"/>
          <w:sz w:val="17"/>
          <w:szCs w:val="17"/>
          <w:color w:val="auto"/>
        </w:rPr>
        <w:t xml:space="preserve">. Other than with respect to Substitute Awards, to the extent that an Award expires or is canceled, forfeited, terminated, settled in cash, or otherwise is settled without issuance to the Participant of the full number of shares of Common Stock to which the Award related, the unissued shares of Common Stock will again be available for grant under the Plan. Other than with respect to Substitute Awards, shares of Common Stock withheld in payment of the Exercise Price, or taxes relating to an Award, and shares equal to the number of shares surrendered in payment of any Exercise Price, or taxes relating to an Award, shall be deemed to constitute shares not issued to the Participant and shall be deemed to again be available for Awards under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shares shall not become available for issuance hereunder if either: (i) the applicable shares are withheld or surrendered following the termination of the Plan; or (ii) at the time the applicable shares are withheld or surrendered, it would constitute a material revision of the Plan subject to stockholder approval under any then-applicable rules of the national securities exchange on which the Common Stock is listed.</w:t>
      </w:r>
    </w:p>
    <w:p>
      <w:pPr>
        <w:spacing w:after="0" w:line="173" w:lineRule="exact"/>
        <w:rPr>
          <w:rFonts w:ascii="Times New Roman" w:cs="Times New Roman" w:eastAsia="Times New Roman" w:hAnsi="Times New Roman"/>
          <w:sz w:val="17"/>
          <w:szCs w:val="17"/>
          <w:color w:val="auto"/>
        </w:rPr>
      </w:pPr>
    </w:p>
    <w:p>
      <w:pPr>
        <w:ind w:firstLine="423"/>
        <w:spacing w:after="0" w:line="273" w:lineRule="auto"/>
        <w:tabs>
          <w:tab w:leader="none" w:pos="66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Source of Shares</w:t>
      </w:r>
      <w:r>
        <w:rPr>
          <w:rFonts w:ascii="Times New Roman" w:cs="Times New Roman" w:eastAsia="Times New Roman" w:hAnsi="Times New Roman"/>
          <w:sz w:val="17"/>
          <w:szCs w:val="17"/>
          <w:color w:val="auto"/>
        </w:rPr>
        <w:t>. Shares of Common Stock issued by the Company in settlement of Awards may be authorized and unissued shares, shares of Common Stock held in the treasury of the Company, shares of Common Stock purchased on the open market or by private purchase, or a combination of the foregoing.</w:t>
      </w:r>
    </w:p>
    <w:p>
      <w:pPr>
        <w:spacing w:after="0" w:line="161" w:lineRule="exact"/>
        <w:rPr>
          <w:rFonts w:ascii="Times New Roman" w:cs="Times New Roman" w:eastAsia="Times New Roman" w:hAnsi="Times New Roman"/>
          <w:sz w:val="17"/>
          <w:szCs w:val="17"/>
          <w:color w:val="auto"/>
        </w:rPr>
      </w:pPr>
    </w:p>
    <w:p>
      <w:pPr>
        <w:ind w:right="20" w:firstLine="423"/>
        <w:spacing w:after="0" w:line="259" w:lineRule="auto"/>
        <w:tabs>
          <w:tab w:leader="none" w:pos="6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Awards may, in the sole discretion of the Committee, be granted under the Plan in assumption of, or in substitution for, outstanding Awards previously granted by an entity directly or indirectly acquired by the Company or with which the Company combines (“</w:t>
      </w:r>
      <w:r>
        <w:rPr>
          <w:rFonts w:ascii="Times New Roman" w:cs="Times New Roman" w:eastAsia="Times New Roman" w:hAnsi="Times New Roman"/>
          <w:sz w:val="17"/>
          <w:szCs w:val="17"/>
          <w:b w:val="1"/>
          <w:bCs w:val="1"/>
          <w:u w:val="single" w:color="auto"/>
          <w:color w:val="auto"/>
        </w:rPr>
        <w:t>Substitute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Awards</w:t>
      </w:r>
      <w:r>
        <w:rPr>
          <w:rFonts w:ascii="Times New Roman" w:cs="Times New Roman" w:eastAsia="Times New Roman" w:hAnsi="Times New Roman"/>
          <w:sz w:val="17"/>
          <w:szCs w:val="17"/>
          <w:color w:val="auto"/>
        </w:rPr>
        <w:t>”). Substitute Awards shall not be counted against the Absolute Share Limit;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Substitute Awards issued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assumption of, or in substitution for, outstanding Options intended to qualify as “incentive stock options” within the meaning of Section 422 of the Code shall be counted against the aggregate number of shares of Common Stock available for Awards of Incentive Stock Options under the Plan. Subject to applicable stock exchange requirements, available shares of Common Stock under a stockholder-approved plan of an entity directly or indirectly acquired by the Company or with which the Company combines (as appropriately adjusted to reflect the acquisition or combination transaction) may be used for Awards under the Plan and shall not reduce the number of shares of Common Stock available for issuance under the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60"/>
          </w:cols>
          <w:pgMar w:left="660" w:top="264" w:right="679" w:bottom="1440" w:gutter="0" w:footer="0" w:header="0"/>
        </w:sectPr>
      </w:pPr>
    </w:p>
    <w:bookmarkStart w:id="18" w:name="page19"/>
    <w:bookmarkEnd w:id="18"/>
    <w:p>
      <w:pPr>
        <w:ind w:left="560" w:hanging="177"/>
        <w:spacing w:after="0"/>
        <w:tabs>
          <w:tab w:leader="none" w:pos="56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Eligibility</w:t>
      </w:r>
      <w:r>
        <w:rPr>
          <w:rFonts w:ascii="Times New Roman" w:cs="Times New Roman" w:eastAsia="Times New Roman" w:hAnsi="Times New Roman"/>
          <w:sz w:val="17"/>
          <w:szCs w:val="17"/>
          <w:color w:val="auto"/>
        </w:rPr>
        <w:t>. Participation in the Plan shall be limited to Eligible Persons.</w:t>
      </w:r>
    </w:p>
    <w:p>
      <w:pPr>
        <w:spacing w:after="0" w:line="218" w:lineRule="exact"/>
        <w:rPr>
          <w:rFonts w:ascii="Times New Roman" w:cs="Times New Roman" w:eastAsia="Times New Roman" w:hAnsi="Times New Roman"/>
          <w:sz w:val="17"/>
          <w:szCs w:val="17"/>
          <w:b w:val="1"/>
          <w:bCs w:val="1"/>
          <w:color w:val="auto"/>
        </w:rPr>
      </w:pPr>
    </w:p>
    <w:p>
      <w:pPr>
        <w:ind w:left="560" w:hanging="177"/>
        <w:spacing w:after="0"/>
        <w:tabs>
          <w:tab w:leader="none" w:pos="56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40" w:right="60" w:firstLine="423"/>
        <w:spacing w:after="0" w:line="257" w:lineRule="auto"/>
        <w:tabs>
          <w:tab w:leader="none" w:pos="61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Each Option granted under the Plan shall be evidenced by an Award Agreement, which agreement need not be the same for each Participant. Each Option so granted shall be subject to the conditions set forth in this Section 7, and to such other conditions not inconsistent with the Plan as may be reflected in the applicable Award Agreement. All Options granted under the Plan shall be Nonqualified Stock Options unless the applicable Award Agreement expressly states that the Option is intended to be an Incentive Stock Option. Incentive Stock Options shall be granted only to Eligible Persons who are employees of a member of the Company Group, and no Incentive Stock Option shall be granted to any Eligible Person who is ineligible to receive an Incentive Stock Option under the Code. No Option shall be treated as an Incentive Stock Option unless the Plan has been approved by the stockholders of the Company in a manner intended to comply with the stockholder approval requirements of Section 422(b)(1) of the Code;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 In the case of an Incentive Stock Option, the terms and conditions of such grant shall be subject to, and comply with, such rules as may be prescribed by Section 422 of the Code. If for any reason an Option intended to be an Incentive Stock Option (or any portion thereof) shall not qualify as an Incentive Stock Option, then, to the extent of such nonqualification, such Option or portion thereof shall be regarded as a Nonqualified Stock Option appropriately granted under the Plan.</w:t>
      </w:r>
    </w:p>
    <w:p>
      <w:pPr>
        <w:spacing w:after="0" w:line="179" w:lineRule="exact"/>
        <w:rPr>
          <w:rFonts w:ascii="Times New Roman" w:cs="Times New Roman" w:eastAsia="Times New Roman" w:hAnsi="Times New Roman"/>
          <w:sz w:val="17"/>
          <w:szCs w:val="17"/>
          <w:color w:val="auto"/>
        </w:rPr>
      </w:pPr>
    </w:p>
    <w:p>
      <w:pPr>
        <w:ind w:left="-40" w:right="140" w:firstLine="423"/>
        <w:spacing w:after="0" w:line="264" w:lineRule="auto"/>
        <w:tabs>
          <w:tab w:leader="none" w:pos="62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Except as otherwise provided by the Committee in the case of Substitute Awards, the exercise price (“</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 xml:space="preserve">”) per share of Common Stock for each Option shall not be less than 100% of the Fair Market Value of such share (determined as of the Date of Grant);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in the case of an Incentive Stock Option granted to an employee who, at the time of the grant of such Option, owns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representing more than 10% of the voting power of all classes of stock of any member of the Company Group, the Exercise Price per share shall be no less than 110% of the Fair Market Value per share on the Date of Grant.</w:t>
      </w:r>
    </w:p>
    <w:p>
      <w:pPr>
        <w:spacing w:after="0" w:line="170" w:lineRule="exact"/>
        <w:rPr>
          <w:rFonts w:ascii="Times New Roman" w:cs="Times New Roman" w:eastAsia="Times New Roman" w:hAnsi="Times New Roman"/>
          <w:sz w:val="17"/>
          <w:szCs w:val="17"/>
          <w:color w:val="auto"/>
        </w:rPr>
      </w:pPr>
    </w:p>
    <w:p>
      <w:pPr>
        <w:ind w:left="620" w:hanging="23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Expiration; Termination</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380" w:firstLine="409"/>
        <w:spacing w:after="0" w:line="266" w:lineRule="auto"/>
        <w:tabs>
          <w:tab w:leader="none" w:pos="992"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Options shall vest and become exercisable in such manner and on such date or dates or upon such event or events as determined by the Committee including, without limitation, those set forth in Section 5(a) of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 such vesting dates or events, the Committee may in its sole discretion accelerate the vesting of any Options at any time and for any reason. Options shall expire upon a date determined by the Committee, not to exceed ten years from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00"/>
          </w:cols>
          <w:pgMar w:left="700" w:top="262" w:right="699" w:bottom="1440" w:gutter="0" w:footer="0" w:header="0"/>
        </w:sectPr>
      </w:pPr>
    </w:p>
    <w:bookmarkStart w:id="19" w:name="page20"/>
    <w:bookmarkEnd w:id="19"/>
    <w:p>
      <w:pPr>
        <w:ind w:left="400" w:right="140"/>
        <w:spacing w:after="0" w:line="23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Date of Grant (the “</w:t>
      </w:r>
      <w:r>
        <w:rPr>
          <w:rFonts w:ascii="Times New Roman" w:cs="Times New Roman" w:eastAsia="Times New Roman" w:hAnsi="Times New Roman"/>
          <w:sz w:val="17"/>
          <w:szCs w:val="17"/>
          <w:b w:val="1"/>
          <w:bCs w:val="1"/>
          <w:u w:val="single" w:color="auto"/>
          <w:color w:val="auto"/>
        </w:rPr>
        <w:t>Option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the Option Period (other than in the case of an Incentive Stock Option) would expire at a time when trading in the shares of Common Stock is prohibited by the Company’s insider trading policy (or Company-imposed “blackout period”), then the Option Period shall be automatically extended until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expiration of such prohibition. Notwithstanding the foregoing, in no event shall the Option Period exceed five years from the Date of Grant in the case of an Incentive Stock Option granted to a Participant who on the Date of Grant owns stock representing more than 10% of the voting power of all classes of stock of any member of the Company Group.</w:t>
      </w:r>
    </w:p>
    <w:p>
      <w:pPr>
        <w:spacing w:after="0" w:line="89" w:lineRule="exact"/>
        <w:rPr>
          <w:sz w:val="20"/>
          <w:szCs w:val="20"/>
          <w:color w:val="auto"/>
        </w:rPr>
      </w:pPr>
    </w:p>
    <w:p>
      <w:pPr>
        <w:ind w:left="400" w:firstLine="409"/>
        <w:spacing w:after="0" w:line="260" w:lineRule="auto"/>
        <w:tabs>
          <w:tab w:leader="none" w:pos="10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whether in an Award Agreement or otherwise, in the event of: (A) a Participant’s Termination by the Service Recipient for Cause, all outstanding Options granted to such Participant shall immediately terminate and expire; (B) a Participant’s Termination due to death or Disability, each outstanding unvested Option granted to such Participant shall immediately terminate and expire, and each outstanding vested Option shall remain exercisable for one year thereafter (but in no event beyond the expiration of the Option Period); and (C) a Participant’s Termination for any other reason, each outstanding unvested Option granted to such Participant shall immediately terminate and expire, and each outstanding vested Option shall remain exercisable for 90 days thereafter (but in no event beyond the expiration of the Option Period).</w:t>
      </w:r>
    </w:p>
    <w:p>
      <w:pPr>
        <w:spacing w:after="0" w:line="175" w:lineRule="exact"/>
        <w:rPr>
          <w:rFonts w:ascii="Times New Roman" w:cs="Times New Roman" w:eastAsia="Times New Roman" w:hAnsi="Times New Roman"/>
          <w:sz w:val="17"/>
          <w:szCs w:val="17"/>
          <w:color w:val="auto"/>
        </w:rPr>
      </w:pPr>
    </w:p>
    <w:p>
      <w:pPr>
        <w:ind w:left="-20" w:firstLine="423"/>
        <w:spacing w:after="0" w:line="256" w:lineRule="auto"/>
        <w:tabs>
          <w:tab w:leader="none" w:pos="64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 and Form of Payment</w:t>
      </w:r>
      <w:r>
        <w:rPr>
          <w:rFonts w:ascii="Times New Roman" w:cs="Times New Roman" w:eastAsia="Times New Roman" w:hAnsi="Times New Roman"/>
          <w:sz w:val="17"/>
          <w:szCs w:val="17"/>
          <w:color w:val="auto"/>
        </w:rPr>
        <w:t xml:space="preserve">. No shares of Common Stock shall be issued pursuant to any exercise of an Option until payment in full of the Exercise Price therefor is received by the Company and the Participant has paid to the Company an amount equal to any Federal, state, local, and non-U.S. income, employment, and any other applicable taxes that are statutorily required to be withheld in accordance with Section 14(d) of the Plan. Options which have become exercisable may be exercised by delivery of written or electronic notice of exercise to the Company (or telephonic instructions to the extent provided by the Committee) or such other manner as may be set forth in an Award Agreement, in each case, in accordance with the terms of the Option accompanied by payment of the Exercise Price. The Exercise Price shall be payable: (i) in cash,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issuance of such shares to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shares of Common Stock are not subject to any pledge or other security interest and have been held by the Participant for at least six months (or such other period as established from time to time by the Committee in order to avoid adverse accounting treatment applying generally accepted accounting principles (“</w:t>
      </w:r>
      <w:r>
        <w:rPr>
          <w:rFonts w:ascii="Times New Roman" w:cs="Times New Roman" w:eastAsia="Times New Roman" w:hAnsi="Times New Roman"/>
          <w:sz w:val="17"/>
          <w:szCs w:val="17"/>
          <w:b w:val="1"/>
          <w:bCs w:val="1"/>
          <w:u w:val="single" w:color="auto"/>
          <w:color w:val="auto"/>
        </w:rPr>
        <w:t>GAAP</w:t>
      </w:r>
      <w:r>
        <w:rPr>
          <w:rFonts w:ascii="Times New Roman" w:cs="Times New Roman" w:eastAsia="Times New Roman" w:hAnsi="Times New Roman"/>
          <w:sz w:val="17"/>
          <w:szCs w:val="17"/>
          <w:color w:val="auto"/>
        </w:rPr>
        <w:t>”)); or (ii) by such other method as the Committee may permit in its sole discretion or as may be set forth in an Award Agreement, including, without limitation (A) in other property having a fair market value on the date of exercise equal to the Exercise Price; (B) if there is a public market for the shares of Common Stock at such time, by means of a broker-assisted “cashless exercise” pursuant to which the Company is delivered (including telephonically to the extent permitted by the Committee) a copy of irrevocable instructions to a stockbroker to sell the shares of Common Stock otherwise issuable upon the exercise of the Option and to deliver promptly to the Company an amount equal to the Exercise Price; or (C) a “net exercise” procedure effected by withholding the minimum number of shares of Common Stock otherwise issuable in respect of an Option that are needed to pay the Exercise Price and any Federal, state, local, and non-U.S. income, employment, and any other applicable taxes that are statutorily required to be withheld in accordance with Section 14(d) of the Plan. Any fractional shares of Common Stock shall be settled in cash.</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20"/>
          </w:cols>
          <w:pgMar w:left="680" w:top="262" w:right="699" w:bottom="1440" w:gutter="0" w:footer="0" w:header="0"/>
        </w:sectPr>
      </w:pPr>
    </w:p>
    <w:bookmarkStart w:id="20" w:name="page21"/>
    <w:bookmarkEnd w:id="20"/>
    <w:p>
      <w:pPr>
        <w:ind w:left="-20" w:firstLine="423"/>
        <w:spacing w:after="0" w:line="259" w:lineRule="auto"/>
        <w:tabs>
          <w:tab w:leader="none" w:pos="63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Notification upon Disqualifying Disposition of an Incentive Stock Option</w:t>
      </w:r>
      <w:r>
        <w:rPr>
          <w:rFonts w:ascii="Times New Roman" w:cs="Times New Roman" w:eastAsia="Times New Roman" w:hAnsi="Times New Roman"/>
          <w:sz w:val="17"/>
          <w:szCs w:val="17"/>
          <w:color w:val="auto"/>
        </w:rPr>
        <w:t>. Each Participant awarded an Incentive Stock Option under the Plan shall notify the Company in writing immediately after the date the Participant makes a disqualifying disposition of any share of Common Stock acquired pursuant to the exercise of such Incentive Stock Option. A disqualifying disposition is any disposition (including, without limitation, any sale) of such share of Common Stock before the later of (i) the date that is two years after the Date of Grant of the Incentive Stock Option, or (ii) the date that is one year after the date of exercise of the Incentive Stock Option. The Company may, if determined by the Committee and in accordance with procedures established by the Committee, retain possession, as agent for the applicable Participant, of any share of Common Stock acquired pursuant to the exercise of an Incentive Stock Option until the end of the period described in the preceding sentence, subject to complying with any instructions from such Participant as to the sale of such share of Common Stock.</w:t>
      </w:r>
    </w:p>
    <w:p>
      <w:pPr>
        <w:spacing w:after="0" w:line="177" w:lineRule="exact"/>
        <w:rPr>
          <w:rFonts w:ascii="Times New Roman" w:cs="Times New Roman" w:eastAsia="Times New Roman" w:hAnsi="Times New Roman"/>
          <w:sz w:val="17"/>
          <w:szCs w:val="17"/>
          <w:color w:val="auto"/>
        </w:rPr>
      </w:pPr>
    </w:p>
    <w:p>
      <w:pPr>
        <w:ind w:left="-20" w:right="80" w:firstLine="423"/>
        <w:spacing w:after="0" w:line="291" w:lineRule="auto"/>
        <w:tabs>
          <w:tab w:leader="none" w:pos="61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 etc</w:t>
      </w:r>
      <w:r>
        <w:rPr>
          <w:rFonts w:ascii="Times New Roman" w:cs="Times New Roman" w:eastAsia="Times New Roman" w:hAnsi="Times New Roman"/>
          <w:sz w:val="17"/>
          <w:szCs w:val="17"/>
          <w:color w:val="auto"/>
        </w:rPr>
        <w:t>. Notwithstanding the foregoing, in no event shall a Participant be permitted to exercise an Option in a manner which the Committee determines would violate the Sarbanes-Oxley Act of 2002, as it may be amended from time to time, or any other Applicable Law.</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8. Stock Appreciation Rights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 w:right="40" w:firstLine="423"/>
        <w:spacing w:after="0" w:line="273" w:lineRule="auto"/>
        <w:tabs>
          <w:tab w:leader="none" w:pos="63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SAR granted under the Plan shall be evidenced by an Award Agreement. Each SAR so granted shall be subject to the conditions set forth in this Section 8, and to such other conditions not inconsistent with the Plan as may be reflected in the applicable Award Agreement. Any Option granted under the Plan may include tandem SARs. The Committee also may award SARs to Eligible Persons independent of any Option.</w:t>
      </w:r>
    </w:p>
    <w:p>
      <w:pPr>
        <w:spacing w:after="0" w:line="159" w:lineRule="exact"/>
        <w:rPr>
          <w:rFonts w:ascii="Times New Roman" w:cs="Times New Roman" w:eastAsia="Times New Roman" w:hAnsi="Times New Roman"/>
          <w:sz w:val="17"/>
          <w:szCs w:val="17"/>
          <w:color w:val="auto"/>
        </w:rPr>
      </w:pPr>
    </w:p>
    <w:p>
      <w:pPr>
        <w:ind w:left="-20" w:right="40" w:firstLine="423"/>
        <w:spacing w:after="0" w:line="267" w:lineRule="auto"/>
        <w:tabs>
          <w:tab w:leader="none" w:pos="64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Strike Price</w:t>
      </w:r>
      <w:r>
        <w:rPr>
          <w:rFonts w:ascii="Times New Roman" w:cs="Times New Roman" w:eastAsia="Times New Roman" w:hAnsi="Times New Roman"/>
          <w:sz w:val="17"/>
          <w:szCs w:val="17"/>
          <w:color w:val="auto"/>
        </w:rPr>
        <w:t>. Except as otherwise provided by the Committee in the case of Substitute Awards, the strike price (“</w:t>
      </w:r>
      <w:r>
        <w:rPr>
          <w:rFonts w:ascii="Times New Roman" w:cs="Times New Roman" w:eastAsia="Times New Roman" w:hAnsi="Times New Roman"/>
          <w:sz w:val="17"/>
          <w:szCs w:val="17"/>
          <w:b w:val="1"/>
          <w:bCs w:val="1"/>
          <w:u w:val="single" w:color="auto"/>
          <w:color w:val="auto"/>
        </w:rPr>
        <w:t>Strike Price</w:t>
      </w:r>
      <w:r>
        <w:rPr>
          <w:rFonts w:ascii="Times New Roman" w:cs="Times New Roman" w:eastAsia="Times New Roman" w:hAnsi="Times New Roman"/>
          <w:sz w:val="17"/>
          <w:szCs w:val="17"/>
          <w:color w:val="auto"/>
        </w:rPr>
        <w:t>”) per share of Common Stock for each SAR shall not be less than 100% of the Fair Market Value of such share (determined as of the Date of Grant). Notwithstanding the foregoing, a SAR granted in tandem with (or in substitution for) an Option previously granted shall have a Strike Price equal to the Exercise Price of the corresponding Option.</w:t>
      </w:r>
    </w:p>
    <w:p>
      <w:pPr>
        <w:spacing w:after="0" w:line="168"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Expiration; Termination</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400" w:right="240" w:firstLine="409"/>
        <w:spacing w:after="0" w:line="266" w:lineRule="auto"/>
        <w:tabs>
          <w:tab w:leader="none" w:pos="101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SAR granted in connection with an Option shall become exercisable and shall expire according to the same vesting schedule and expiration provisions as the corresponding Option. A SAR granted independent of an Option shall vest and become exercisable in such manner and on such date or dates or upon such event or events as determined by the Committee including, without limitation, those set forth in Section 5(a) of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any such vesting dates or events,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40"/>
          </w:cols>
          <w:pgMar w:left="680" w:top="264" w:right="679" w:bottom="1440" w:gutter="0" w:footer="0" w:header="0"/>
        </w:sectPr>
      </w:pPr>
    </w:p>
    <w:bookmarkStart w:id="21" w:name="page22"/>
    <w:bookmarkEnd w:id="21"/>
    <w:p>
      <w:pPr>
        <w:ind w:left="400"/>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Committee may, in its sole discretion, accelerate the vesting of any SAR at any time and for any reason. SARs shall expire upon a date determined by the Committee, not to exceed ten years from the Date of Grant (the “</w:t>
      </w:r>
      <w:r>
        <w:rPr>
          <w:rFonts w:ascii="Times New Roman" w:cs="Times New Roman" w:eastAsia="Times New Roman" w:hAnsi="Times New Roman"/>
          <w:sz w:val="17"/>
          <w:szCs w:val="17"/>
          <w:b w:val="1"/>
          <w:bCs w:val="1"/>
          <w:u w:val="single" w:color="auto"/>
          <w:color w:val="auto"/>
        </w:rPr>
        <w:t>SAR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the SAR Period would expire at a time when trading in the shares of Common Stock is prohibited by the Company’s insider trading policy (or Company-imposed “blackout period”), then the SAR Period shall be automatically extended until the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expiration of such prohibition.</w:t>
      </w:r>
    </w:p>
    <w:p>
      <w:pPr>
        <w:spacing w:after="0" w:line="2" w:lineRule="exact"/>
        <w:rPr>
          <w:sz w:val="20"/>
          <w:szCs w:val="20"/>
          <w:color w:val="auto"/>
        </w:rPr>
      </w:pPr>
    </w:p>
    <w:p>
      <w:pPr>
        <w:ind w:left="400" w:right="140" w:firstLine="409"/>
        <w:spacing w:after="0" w:line="256" w:lineRule="auto"/>
        <w:tabs>
          <w:tab w:leader="none" w:pos="106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whether in an Award Agreement or otherwise, in the event of: (A) a Participant’s Termination by the Service Recipient for Cause, all outstanding SARs granted to such Participant shall immediately terminate and expire; (B) a Participant’s Termination due to death or Disability, each outstanding unvested SAR granted to such Participant shall immediately terminate and expire, and each outstanding vested SAR shall remain exercisable for one year thereafter (but in no event beyond the expiration of the SAR Period); and (C) a Participant’s Termination for any other reason, each outstanding unvested SAR granted to such Participant shall immediately terminate and expire, and each outstanding vested SAR shall remain exercisable for 90 days thereafter (but in no event beyond the expiration of the SAR Period).</w:t>
      </w:r>
    </w:p>
    <w:p>
      <w:pPr>
        <w:spacing w:after="0" w:line="178" w:lineRule="exact"/>
        <w:rPr>
          <w:rFonts w:ascii="Times New Roman" w:cs="Times New Roman" w:eastAsia="Times New Roman" w:hAnsi="Times New Roman"/>
          <w:sz w:val="17"/>
          <w:szCs w:val="17"/>
          <w:color w:val="auto"/>
        </w:rPr>
      </w:pPr>
    </w:p>
    <w:p>
      <w:pPr>
        <w:ind w:left="-20" w:right="140" w:firstLine="423"/>
        <w:spacing w:after="0" w:line="291" w:lineRule="auto"/>
        <w:tabs>
          <w:tab w:leader="none" w:pos="64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SARs which have become exercisable may be exercised by delivery of written or electronic notice of exercise to the Company in accordance with the terms of the Award, specifying the number of SARs to be exercised and the date on which such SARs were awarded.</w:t>
      </w:r>
    </w:p>
    <w:p>
      <w:pPr>
        <w:spacing w:after="0" w:line="147" w:lineRule="exact"/>
        <w:rPr>
          <w:rFonts w:ascii="Times New Roman" w:cs="Times New Roman" w:eastAsia="Times New Roman" w:hAnsi="Times New Roman"/>
          <w:sz w:val="17"/>
          <w:szCs w:val="17"/>
          <w:color w:val="auto"/>
        </w:rPr>
      </w:pPr>
    </w:p>
    <w:p>
      <w:pPr>
        <w:ind w:left="-20" w:right="100" w:firstLine="423"/>
        <w:spacing w:after="0" w:line="263" w:lineRule="auto"/>
        <w:tabs>
          <w:tab w:leader="none" w:pos="63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Upon the exercise of a SAR, the Company shall pay to the Participant an amount equal to the number of shares subject to the SAR that is being exercised multiplied by the excess of the Fair Market Value of one share of Common Stock on the exercise date over the Strike Price, less an amount equal to any Federal, state, local, and non-U.S. income, employment, and any other applicable taxes that are statutorily required to be withheld in accordance with Section 14(d) of the Plan. The Company shall pay such amount in cash, in shares of Common Stock valued at Fair Market Value, or any combination thereof, as determined by the Committee. Any fractional shares of Common Stock shall be settled in cash.</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9. Restricted Stock and Restricted Stock Units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20" w:right="100" w:firstLine="423"/>
        <w:spacing w:after="0" w:line="273" w:lineRule="auto"/>
        <w:tabs>
          <w:tab w:leader="none" w:pos="63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grant of Restricted Stock and Restricted Stock Units shall be evidenced by an Award Agreement. Each Restricted Stock and Restricted Stock Unit so granted shall be subject to the conditions set forth in this Section 9, and to such other conditions not inconsistent with the Plan as may be reflected in the applicable Award Agreement.</w:t>
      </w:r>
    </w:p>
    <w:p>
      <w:pPr>
        <w:spacing w:after="0" w:line="161" w:lineRule="exact"/>
        <w:rPr>
          <w:rFonts w:ascii="Times New Roman" w:cs="Times New Roman" w:eastAsia="Times New Roman" w:hAnsi="Times New Roman"/>
          <w:sz w:val="17"/>
          <w:szCs w:val="17"/>
          <w:color w:val="auto"/>
        </w:rPr>
      </w:pPr>
    </w:p>
    <w:p>
      <w:pPr>
        <w:ind w:left="-20" w:right="40" w:firstLine="423"/>
        <w:spacing w:after="0" w:line="266" w:lineRule="auto"/>
        <w:tabs>
          <w:tab w:leader="none" w:pos="64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Certificates and Book-Entry Notation; Escrow or Similar Arrangement</w:t>
      </w:r>
      <w:r>
        <w:rPr>
          <w:rFonts w:ascii="Times New Roman" w:cs="Times New Roman" w:eastAsia="Times New Roman" w:hAnsi="Times New Roman"/>
          <w:sz w:val="17"/>
          <w:szCs w:val="17"/>
          <w:color w:val="auto"/>
        </w:rPr>
        <w:t>. Upon the grant of Restricted Stock, the Committee shall cause a stock certificate registered in the name of the Participant to be issued or shall cause share(s) of Common Stock to be registered in the name of the Participant and held in book-entry form subject to the Company’s directions and, if the Committee determines that the Restricted Stock shall be held by the Company or in escrow rather than issued to the Participant pending the release of the applicable restrictions,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20"/>
          </w:cols>
          <w:pgMar w:left="680" w:top="264" w:right="699" w:bottom="1440" w:gutter="0" w:footer="0" w:header="0"/>
        </w:sectPr>
      </w:pPr>
    </w:p>
    <w:bookmarkStart w:id="22" w:name="page23"/>
    <w:bookmarkEnd w:id="22"/>
    <w:p>
      <w:pPr>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Committee may require the Participant to additionally execute and deliver to the Company (i) an escrow agreement satisfactory to the Committee, if applicable, and (ii) the appropriate stock power (endorsed in blank) with respect to the Restricted Stock covered by such agreement. If a Participant shall fail to execute and deliver (in a manner permitted under Section 14(a) of the Plan or as otherwise determined by the Committee) an agreement evidencing an Award of Restricted Stock and, if applicable, an escrow agreement and blank stock power within the amount of time specified by the Committee, the Award shall be null and void. Subject to the restrictions set forth in this Section 9, Section 14(b) of the Plan and the applicable Award Agreement, a Participant generally shall have the rights and privileges of a stockholder as to shares of Restricted Stock, including, without limitation, the right to vote such Restricted Stock. To the extent shares of Restricted Stock are forfeited, any stock certificates issued to the Participant evidencing such shares shall be returned to the Company, and all rights of the Participant to such shares and as a stockholder with respect thereto shall terminate without further obligation on the part of the Company. A Participant shall have no rights or privileges as a stockholder as to Restricted Stock Units.</w:t>
      </w:r>
    </w:p>
    <w:p>
      <w:pPr>
        <w:spacing w:after="0" w:line="173" w:lineRule="exact"/>
        <w:rPr>
          <w:sz w:val="20"/>
          <w:szCs w:val="20"/>
          <w:color w:val="auto"/>
        </w:rPr>
      </w:pPr>
    </w:p>
    <w:p>
      <w:pPr>
        <w:ind w:left="660" w:hanging="237"/>
        <w:spacing w:after="0"/>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Termination</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420" w:right="60" w:firstLine="409"/>
        <w:spacing w:after="0" w:line="266" w:lineRule="auto"/>
        <w:tabs>
          <w:tab w:leader="none" w:pos="1032"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Restricted Stock and Restricted Stock Units shall vest, and any applicable Restricted Period shall lapse, in such manner and on such date or dates or upon such event or events as determined by the Committee including, without limitation, those set forth in Section 5(a) of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notwithstanding any such dates or events, the Committee may, in its sole discretion, accelerate the vesting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or Restricted Stock Unit or the lapsing of any applicable Restricted Period at any time and for any reason.</w:t>
      </w:r>
    </w:p>
    <w:p>
      <w:pPr>
        <w:spacing w:after="0" w:line="65" w:lineRule="exact"/>
        <w:rPr>
          <w:rFonts w:ascii="Times New Roman" w:cs="Times New Roman" w:eastAsia="Times New Roman" w:hAnsi="Times New Roman"/>
          <w:sz w:val="17"/>
          <w:szCs w:val="17"/>
          <w:color w:val="auto"/>
        </w:rPr>
      </w:pPr>
    </w:p>
    <w:p>
      <w:pPr>
        <w:ind w:left="420" w:right="60" w:firstLine="409"/>
        <w:spacing w:after="0" w:line="263" w:lineRule="auto"/>
        <w:tabs>
          <w:tab w:leader="none" w:pos="108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whether in an Award Agreement or otherwise, in the event of a Participant’s Termination for any reason prior to the time that such Participant’s Restricted Stock or Restricted Stock Units, as applicable, have vested, (A) all vesting with respect to such Participant’s Restricted Stock or Restricted Stock Units, as applicable, shall cease and (B) unvested shares of Restricted Stock and unvested Restricted Stock Units, as applicable, shall be forfeited to the Company by the Participant for no consideration as of the date of such Termination.</w:t>
      </w:r>
    </w:p>
    <w:p>
      <w:pPr>
        <w:spacing w:after="0" w:line="172"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Restricted Stock and Settlement of Restricted Stock Units</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420" w:right="120" w:firstLine="409"/>
        <w:spacing w:after="0" w:line="263" w:lineRule="auto"/>
        <w:tabs>
          <w:tab w:leader="none" w:pos="1032"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expiration of the Restricted Period with respect to any shares of Restricted Stock, the restrictions set forth in the applicable Award Agreement shall be of no further force or effect with respect to such shares, except as set forth in the applicable Award Agreement. If an escrow arrangement is used, upon such expiration the Company shall issue to the Participant or the Participant’s beneficiary, without charge, the stock certificate (or, if applicable, a notice evidencing a book-entry notation) evidencing the shares of Restricted Stock which have not then been forfeited and with respect to which the Restricted Period has expired (rounded down to the nearest full share).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40"/>
          </w:cols>
          <w:pgMar w:left="660" w:top="264" w:right="699" w:bottom="1440" w:gutter="0" w:footer="0" w:header="0"/>
        </w:sectPr>
      </w:pPr>
    </w:p>
    <w:bookmarkStart w:id="23" w:name="page24"/>
    <w:bookmarkEnd w:id="23"/>
    <w:p>
      <w:pPr>
        <w:ind w:left="420" w:right="60" w:firstLine="409"/>
        <w:spacing w:after="0" w:line="259" w:lineRule="auto"/>
        <w:tabs>
          <w:tab w:leader="none" w:pos="108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Unless otherwise provided by the Committee in an Award Agreement or otherwise, upon the expiration of the Restricted Period with respect to any outstanding Restricted Stock Units, the Company shall issue to the Participant or the Participant’s beneficiary, without charge, one share of Common Stock (or other securities or other property, as applicable) for each such outstanding Restricted Stock Unit;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Committee may, in its sole discretion, elect to (A) pay cash or part cash and part shares of Common Stock in lieu of issuing only shares of Common Stock in respect of such Restricted Stock Units or (B) defer the issuance of shares of Common Stock (or cash or part cash and part shares of Common Stock, as the case may be) beyond the expiration of the Restricted Period if such extension would not cause adverse tax consequences under Section 409A of the Code. If a cash payment is made in lieu of issuing shares of Common Stock in respect of such Restricted Stock Units, the amount of such payment shall be equal to the Fair Market Value per share of the Common Stock as of the date on which the Restricted Period lapsed with respect to such Restricted Stock Units.</w:t>
      </w:r>
    </w:p>
    <w:p>
      <w:pPr>
        <w:spacing w:after="0" w:line="173" w:lineRule="exact"/>
        <w:rPr>
          <w:rFonts w:ascii="Times New Roman" w:cs="Times New Roman" w:eastAsia="Times New Roman" w:hAnsi="Times New Roman"/>
          <w:sz w:val="17"/>
          <w:szCs w:val="17"/>
          <w:color w:val="auto"/>
        </w:rPr>
      </w:pPr>
    </w:p>
    <w:p>
      <w:pPr>
        <w:jc w:val="both"/>
        <w:ind w:right="120" w:firstLine="423"/>
        <w:spacing w:after="0" w:line="273" w:lineRule="auto"/>
        <w:tabs>
          <w:tab w:leader="none" w:pos="65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 on Restricted Stock</w:t>
      </w:r>
      <w:r>
        <w:rPr>
          <w:rFonts w:ascii="Times New Roman" w:cs="Times New Roman" w:eastAsia="Times New Roman" w:hAnsi="Times New Roman"/>
          <w:sz w:val="17"/>
          <w:szCs w:val="17"/>
          <w:color w:val="auto"/>
        </w:rPr>
        <w:t>. Each certificate, if any, or book entry representing Restricted Stock awarded under the Plan, if any, shall bear a legend or book-entry notation substantially in the form of the following, in addition to any other information the Company deems appropriate, until the lapse of all restrictions with respect to such shares of Common Stock:</w:t>
      </w:r>
    </w:p>
    <w:p>
      <w:pPr>
        <w:spacing w:after="0" w:line="58" w:lineRule="exact"/>
        <w:rPr>
          <w:sz w:val="20"/>
          <w:szCs w:val="20"/>
          <w:color w:val="auto"/>
        </w:rPr>
      </w:pPr>
    </w:p>
    <w:p>
      <w:pPr>
        <w:ind w:left="420" w:right="180"/>
        <w:spacing w:after="0" w:line="266" w:lineRule="auto"/>
        <w:rPr>
          <w:sz w:val="20"/>
          <w:szCs w:val="20"/>
          <w:color w:val="auto"/>
        </w:rPr>
      </w:pPr>
      <w:r>
        <w:rPr>
          <w:rFonts w:ascii="Times New Roman" w:cs="Times New Roman" w:eastAsia="Times New Roman" w:hAnsi="Times New Roman"/>
          <w:sz w:val="17"/>
          <w:szCs w:val="17"/>
          <w:color w:val="auto"/>
        </w:rPr>
        <w:t>TRANSFER OF THIS CERTIFICATE AND THE SHARES REPRESENTED HEREBY IS RESTRICTED PURSUANT TO THE TERMS OF THE MEDLINE INC. 2025 OMNIBUS INCENTIVE PLAN AND A RESTRICTED STOCK AWARD AGREEMENT BETWEEN MEDLINE INC. AND THE PARTICIPANT. A COPY OF SUCH PLAN AND AWARD AGREEMENT IS ON FILE AT THE PRINCIPAL EXECUTIVE OFFICES OF MEDLINE INC.</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10. OP Units.</w:t>
      </w:r>
    </w:p>
    <w:p>
      <w:pPr>
        <w:spacing w:after="0" w:line="221" w:lineRule="exact"/>
        <w:rPr>
          <w:sz w:val="20"/>
          <w:szCs w:val="20"/>
          <w:color w:val="auto"/>
        </w:rPr>
      </w:pPr>
    </w:p>
    <w:p>
      <w:pPr>
        <w:ind w:firstLine="423"/>
        <w:spacing w:after="0" w:line="259" w:lineRule="auto"/>
        <w:tabs>
          <w:tab w:leader="none" w:pos="657"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Awards may be granted under the Plan in the form of undivided fractional limited liability company interests in Medline Holdings, LP (together with any successor entity, the “</w:t>
      </w:r>
      <w:r>
        <w:rPr>
          <w:rFonts w:ascii="Times New Roman" w:cs="Times New Roman" w:eastAsia="Times New Roman" w:hAnsi="Times New Roman"/>
          <w:sz w:val="17"/>
          <w:szCs w:val="17"/>
          <w:b w:val="1"/>
          <w:bCs w:val="1"/>
          <w:u w:val="single" w:color="auto"/>
          <w:color w:val="auto"/>
        </w:rPr>
        <w:t>Operating Company</w:t>
      </w:r>
      <w:r>
        <w:rPr>
          <w:rFonts w:ascii="Times New Roman" w:cs="Times New Roman" w:eastAsia="Times New Roman" w:hAnsi="Times New Roman"/>
          <w:sz w:val="17"/>
          <w:szCs w:val="17"/>
          <w:color w:val="auto"/>
        </w:rPr>
        <w:t>”), a Delaware limited partnership, the entity through which the Company conducts its business and an entity that has elected to be treated as a partnership for federal income tax purposes, of one or more classes (“</w:t>
      </w:r>
      <w:r>
        <w:rPr>
          <w:rFonts w:ascii="Times New Roman" w:cs="Times New Roman" w:eastAsia="Times New Roman" w:hAnsi="Times New Roman"/>
          <w:sz w:val="17"/>
          <w:szCs w:val="17"/>
          <w:b w:val="1"/>
          <w:bCs w:val="1"/>
          <w:u w:val="single" w:color="auto"/>
          <w:color w:val="auto"/>
        </w:rPr>
        <w:t>OP Units</w:t>
      </w:r>
      <w:r>
        <w:rPr>
          <w:rFonts w:ascii="Times New Roman" w:cs="Times New Roman" w:eastAsia="Times New Roman" w:hAnsi="Times New Roman"/>
          <w:sz w:val="17"/>
          <w:szCs w:val="17"/>
          <w:color w:val="auto"/>
        </w:rPr>
        <w:t>”) established pursuant to the Operating Company’s limited liability company agreement, as amended from time to time. Awards of OP Units shall be valued by reference to, or otherwise determined by reference to or based on, shares of Common Stock. OP Units awarded under the Plan may be (1) convertible, exchangeable or redeemable for other limited liability company interests in the Operating Company (including OP Units of a different class or series) or shares of Common Stock, or (2) valued by reference to the book value, fair value or performance of the Operating Company. Awards of OP Units are intended to qualify as “profits interests” within the meaning of IRS Revenue Procedure 93-27, as clarified by IRS Revenue Procedure 2001-43, with respect to a Participant in the Plan who is rendering services to or for the benefit of the Operating Company, including its subsidiaries.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60"/>
          </w:cols>
          <w:pgMar w:left="660" w:top="264" w:right="679" w:bottom="1440" w:gutter="0" w:footer="0" w:header="0"/>
        </w:sectPr>
      </w:pPr>
    </w:p>
    <w:bookmarkStart w:id="24" w:name="page25"/>
    <w:bookmarkEnd w:id="24"/>
    <w:p>
      <w:pPr>
        <w:ind w:left="-20" w:firstLine="423"/>
        <w:spacing w:after="0" w:line="256" w:lineRule="auto"/>
        <w:tabs>
          <w:tab w:leader="none" w:pos="64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Share Calculations</w:t>
      </w:r>
      <w:r>
        <w:rPr>
          <w:rFonts w:ascii="Times New Roman" w:cs="Times New Roman" w:eastAsia="Times New Roman" w:hAnsi="Times New Roman"/>
          <w:sz w:val="17"/>
          <w:szCs w:val="17"/>
          <w:color w:val="auto"/>
        </w:rPr>
        <w:t>. For purposes of calculating the number of shares of Common Stock underlying an award of OP Units relative to the total number of shares of Common Stock available for issuance under the Plan, the Committee shall establish in good faith the maximum number of shares of Common Stock to which a Participant receiving such award of OP Units may be entitled upon fulfillment of all applicable conditions set forth in the relevant award documentation, including vesting conditions, capital account allocations, value accretion factors, conversion ratios, exchange ratios and other similar criteria. If and when any such conditions are no longer capable of being met, in whole or in part, the number of shares of Common Stock underlying such awards of OP Units shall be reduced accordingly by the Committee, and the number of shares of Common Stock shall be increased by one share of Common Stock for each share so reduced. Awards of OP Units may be granted either alone or in addition to other awards granted under the Plan. The Committee shall determine the eligible Participants to whom, and the time or times at which, awards of OP Units shall be made; the number of OP Units to be awarded; the price, if any, to be paid by the Participant for the acquisition of such OP Units (which may be less than the fair value of the OP Unit); and the restrictions and conditions applicable to such award of OP Units. Conditions may be based on continuing employment (or other service relationship), computation of financial metrics and/or achievement of pre-established performance goals and objectives, with related length of the service period for vesting, minimum or maximum performance thresholds, measurement procedures and length of the performance period to be established by the Committee at the time of grant, in its sole discretion (or any other Performance Conditions). The Committee may allow awards of OP Units to be held through a limited liability company, or similar “look-through” entity, and the Committee may require such limited liability company or similar entity to impose restrictions on its partners or other beneficial owners that are not inconsistent with the provisions of this Section 10. The provisions of the grant of OP Units need not be the same with respect to each Participant.</w:t>
      </w:r>
    </w:p>
    <w:p>
      <w:pPr>
        <w:spacing w:after="0" w:line="184" w:lineRule="exact"/>
        <w:rPr>
          <w:sz w:val="20"/>
          <w:szCs w:val="20"/>
          <w:color w:val="auto"/>
        </w:rPr>
      </w:pPr>
    </w:p>
    <w:p>
      <w:pPr>
        <w:ind w:left="-20" w:right="40" w:firstLine="423"/>
        <w:spacing w:after="0" w:line="261" w:lineRule="auto"/>
        <w:tabs>
          <w:tab w:leader="none" w:pos="652"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Equity-Based Awards and Other Cash-Based Awards</w:t>
      </w:r>
      <w:r>
        <w:rPr>
          <w:rFonts w:ascii="Times New Roman" w:cs="Times New Roman" w:eastAsia="Times New Roman" w:hAnsi="Times New Roman"/>
          <w:sz w:val="17"/>
          <w:szCs w:val="17"/>
          <w:color w:val="auto"/>
        </w:rPr>
        <w:t>. The Committee may grant Other Equity-Based Awards and Other Cash-Based Awards under the Plan to Eligible Persons, alone or in tandem with other Awards, in such amounts and dependent on such conditions as the Committee shall from time to time in its sole discretion determine including, without limitation, those set forth in Section 5(a) of the Plan. Each Other Equity-Based Award granted under the Plan shall be evidenced by an Award Agreement and each Other Cash-Based Award granted under the Plan shall be evidenced in such form as the Committee may determine from time to time. Each Other Equity-Based Award or Other Cash-Based Award, as applicable, so granted shall be subject to such conditions not inconsistent with the Plan as may be reflected in the applicable Award Agreement or other form evidencing such Award, including, without limitation, those set forth in Section 14(c) of the Plan.</w:t>
      </w:r>
    </w:p>
    <w:p>
      <w:pPr>
        <w:spacing w:after="0" w:line="169" w:lineRule="exact"/>
        <w:rPr>
          <w:rFonts w:ascii="Times New Roman" w:cs="Times New Roman" w:eastAsia="Times New Roman" w:hAnsi="Times New Roman"/>
          <w:sz w:val="17"/>
          <w:szCs w:val="17"/>
          <w:b w:val="1"/>
          <w:bCs w:val="1"/>
          <w:color w:val="auto"/>
        </w:rPr>
      </w:pPr>
    </w:p>
    <w:p>
      <w:pPr>
        <w:ind w:left="-20" w:firstLine="423"/>
        <w:spacing w:after="0" w:line="294" w:lineRule="auto"/>
        <w:tabs>
          <w:tab w:leader="none" w:pos="661"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Capital Structure and Similar Events</w:t>
      </w:r>
      <w:r>
        <w:rPr>
          <w:rFonts w:ascii="Times New Roman" w:cs="Times New Roman" w:eastAsia="Times New Roman" w:hAnsi="Times New Roman"/>
          <w:sz w:val="17"/>
          <w:szCs w:val="17"/>
          <w:color w:val="auto"/>
        </w:rPr>
        <w:t>. Notwithstanding any other provision in this Plan to the contrary, the following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apply to all Awards granted hereunder (other than Other Cash-Based Awards):</w:t>
      </w:r>
    </w:p>
    <w:p>
      <w:pPr>
        <w:spacing w:after="0" w:line="41" w:lineRule="exact"/>
        <w:rPr>
          <w:sz w:val="20"/>
          <w:szCs w:val="20"/>
          <w:color w:val="auto"/>
        </w:rPr>
      </w:pPr>
    </w:p>
    <w:p>
      <w:pPr>
        <w:ind w:left="-20" w:right="40" w:firstLine="423"/>
        <w:spacing w:after="0" w:line="266" w:lineRule="auto"/>
        <w:tabs>
          <w:tab w:leader="none" w:pos="63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In the event of (i) any dividend (other than regular 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OP Units or other securities of the Company, issuance of warrants or other rights to acquire shares of Common Stock or other securities of the Company, or other similar</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520"/>
          </w:cols>
          <w:pgMar w:left="680" w:top="264" w:right="6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corporate transaction or event that affects the shares of Common Stock (including a Change in Control), or (ii) unusual or nonrecurring events affecting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including changes in applicable rules, rulings, regulations, or other requirements, that the Committee determines, in its sole discretion,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could result in substantial dilution or enlargement of the rights intended to be granted to, or available for, Participants (any event in (i) or (ii), an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Adjustment Event</w:t>
      </w:r>
      <w:r>
        <w:rPr>
          <w:rFonts w:ascii="Times New Roman" w:cs="Times New Roman" w:eastAsia="Times New Roman" w:hAnsi="Times New Roman"/>
          <w:sz w:val="17"/>
          <w:szCs w:val="17"/>
          <w:color w:val="auto"/>
        </w:rPr>
        <w:t>”), the Committee shall, in respect of any such Adjustment Event, make such proportionate substitution or adjustment, if any, as it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deems equitable, to any or all of: (A) the Absolute Share Limit, or any other limit applicable under the Plan with respect to the number of Awards which</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be granted hereunder; (B) the number of shares of Common Stock or other securities of the Company (or number and kind of other securities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property) which may be issued in respect of Awards or with respect to which Awards may be granted under the Plan or any Sub-Plan; and (C)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of any outstanding Award, including, without limitation, (I) the number of shares of Common Stock or other securities of the Company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and kind of other securities or other property) subject to outstanding Awards or to which outstanding Awards relate; (II) the Exercise Price 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Strike Price with respect to any Award; or (III) any applicable performance measures;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case of any “equity restructuring” (within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meaning of the Financial Accounting Standards Board Accounting Standards Codification Topic 718 (or any successor pronouncement thereto)),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shall make an equitable or proportionate adjustment to outstanding Awards to reflect such equity restructuring. Any adjustment under this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12 shall be conclusive and binding for all purposes.</w:t>
      </w:r>
    </w:p>
    <w:p>
      <w:pPr>
        <w:spacing w:after="0" w:line="200" w:lineRule="exact"/>
        <w:rPr>
          <w:sz w:val="20"/>
          <w:szCs w:val="20"/>
          <w:color w:val="auto"/>
        </w:rPr>
      </w:pPr>
    </w:p>
    <w:p>
      <w:pPr>
        <w:ind w:right="380" w:firstLine="423"/>
        <w:spacing w:after="0" w:line="291" w:lineRule="auto"/>
        <w:tabs>
          <w:tab w:leader="none" w:pos="66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Events</w:t>
      </w:r>
      <w:r>
        <w:rPr>
          <w:rFonts w:ascii="Times New Roman" w:cs="Times New Roman" w:eastAsia="Times New Roman" w:hAnsi="Times New Roman"/>
          <w:sz w:val="17"/>
          <w:szCs w:val="17"/>
          <w:color w:val="auto"/>
        </w:rPr>
        <w:t>. Without limiting the foregoing, except as may otherwise be provided in an Award Agreement, in connection with any Adjustment Event, the Committee may, in its sole discretion, provide for any one or more of the following:</w:t>
      </w:r>
    </w:p>
    <w:p>
      <w:pPr>
        <w:spacing w:after="0" w:line="43" w:lineRule="exact"/>
        <w:rPr>
          <w:rFonts w:ascii="Times New Roman" w:cs="Times New Roman" w:eastAsia="Times New Roman" w:hAnsi="Times New Roman"/>
          <w:sz w:val="17"/>
          <w:szCs w:val="17"/>
          <w:color w:val="auto"/>
        </w:rPr>
      </w:pPr>
    </w:p>
    <w:p>
      <w:pPr>
        <w:ind w:left="420" w:right="140" w:firstLine="409"/>
        <w:spacing w:after="0" w:line="273" w:lineRule="auto"/>
        <w:tabs>
          <w:tab w:leader="none" w:pos="1032"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substitution or assumption of Awards (or awards of an acquiring company), acceleration of the exercisability of, lapse of restrictions on, or termination of Awards, or a period of time (which shall not be required to be more than ten days) for Participants to exercise outstanding Awards prior to the occurrence of such event (and any such Award not so exercised shall terminate upon the occurrence of such event); and</w:t>
      </w:r>
    </w:p>
    <w:p>
      <w:pPr>
        <w:spacing w:after="0" w:line="58" w:lineRule="exact"/>
        <w:rPr>
          <w:rFonts w:ascii="Times New Roman" w:cs="Times New Roman" w:eastAsia="Times New Roman" w:hAnsi="Times New Roman"/>
          <w:sz w:val="17"/>
          <w:szCs w:val="17"/>
          <w:color w:val="auto"/>
        </w:rPr>
      </w:pPr>
    </w:p>
    <w:p>
      <w:pPr>
        <w:ind w:left="420" w:firstLine="409"/>
        <w:spacing w:after="0" w:line="257" w:lineRule="auto"/>
        <w:tabs>
          <w:tab w:leader="none" w:pos="108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(it being understood that, in such event, any Option or SAR having a per share Exercise Price or Strike Price equal to, or in excess of, the Fair Market Value of a share of Common Stock subject thereto may be canceled and terminated without any payment or consideration therefor), or, in the case of Restricted Stock, Restricted Stock Units, or Other Equity Based Awards that are not vested as of such cancellation, a cash payment or equity subject to deferred vesting and delivery consistent with the vesting restrictions applicable to such Restricted Stock, Restricted Stock Units, or Other Equity-Based Awards prior to cancellation, or the underlying shares in respect thereof.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560"/>
          </w:cols>
          <w:pgMar w:left="660" w:top="264" w:right="679" w:bottom="1440" w:gutter="0" w:footer="0" w:header="0"/>
        </w:sectPr>
      </w:pPr>
    </w:p>
    <w:bookmarkStart w:id="26" w:name="page27"/>
    <w:bookmarkEnd w:id="26"/>
    <w:p>
      <w:pPr>
        <w:ind w:right="20" w:firstLine="422"/>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Payments to holders pursuant to clause (ii) above shall be made in cash or, in the sole discretion of the Committee, in the form of such other consideration necessary for a Participant to receive property, cash, or securities (or combination thereof) as such Participant would have been entitled to receive upon the occurrence of the transaction if the Participant had been, immediately prior to such transaction, the holder of the number of shares of Common Stock covered by the Award at such time (less any applicable Exercise Price or Strike Price).</w:t>
      </w:r>
    </w:p>
    <w:p>
      <w:pPr>
        <w:spacing w:after="0" w:line="169" w:lineRule="exact"/>
        <w:rPr>
          <w:sz w:val="20"/>
          <w:szCs w:val="20"/>
          <w:color w:val="auto"/>
        </w:rPr>
      </w:pPr>
    </w:p>
    <w:p>
      <w:pPr>
        <w:ind w:left="660" w:hanging="237"/>
        <w:spacing w:after="0"/>
        <w:tabs>
          <w:tab w:leader="none" w:pos="66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Requirements</w:t>
      </w:r>
      <w:r>
        <w:rPr>
          <w:rFonts w:ascii="Times New Roman" w:cs="Times New Roman" w:eastAsia="Times New Roman" w:hAnsi="Times New Roman"/>
          <w:sz w:val="17"/>
          <w:szCs w:val="17"/>
          <w:color w:val="auto"/>
        </w:rPr>
        <w:t>. Prior to any payment or adjustment contemplated under this Section 12, the Committee may require a Participant to</w:t>
      </w:r>
    </w:p>
    <w:p>
      <w:pPr>
        <w:spacing w:after="0" w:line="30" w:lineRule="exact"/>
        <w:rPr>
          <w:rFonts w:ascii="Times New Roman" w:cs="Times New Roman" w:eastAsia="Times New Roman" w:hAnsi="Times New Roman"/>
          <w:sz w:val="17"/>
          <w:szCs w:val="17"/>
          <w:color w:val="auto"/>
        </w:rPr>
      </w:pPr>
    </w:p>
    <w:p>
      <w:pPr>
        <w:ind w:right="340"/>
        <w:spacing w:after="0" w:line="259" w:lineRule="auto"/>
        <w:tabs>
          <w:tab w:leader="none" w:pos="20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Common Stock, subject to any limitations or reductions as may be necessary to comply with Section 409A of the Code; and (iii) deliver customary transfer documentation as reasonably determined by the Committee.</w:t>
      </w:r>
    </w:p>
    <w:p>
      <w:pPr>
        <w:spacing w:after="0" w:line="173" w:lineRule="exact"/>
        <w:rPr>
          <w:rFonts w:ascii="Times New Roman" w:cs="Times New Roman" w:eastAsia="Times New Roman" w:hAnsi="Times New Roman"/>
          <w:sz w:val="17"/>
          <w:szCs w:val="17"/>
          <w:color w:val="auto"/>
        </w:rPr>
      </w:pPr>
    </w:p>
    <w:p>
      <w:pPr>
        <w:ind w:firstLine="423"/>
        <w:spacing w:after="0" w:line="291" w:lineRule="auto"/>
        <w:tabs>
          <w:tab w:leader="none" w:pos="66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Any adjustment provided under this Section 12 may provide for the elimination of any fractional share that might otherwise become subject to an Award.</w:t>
      </w:r>
    </w:p>
    <w:p>
      <w:pPr>
        <w:spacing w:after="0" w:line="147" w:lineRule="exact"/>
        <w:rPr>
          <w:rFonts w:ascii="Times New Roman" w:cs="Times New Roman" w:eastAsia="Times New Roman" w:hAnsi="Times New Roman"/>
          <w:sz w:val="17"/>
          <w:szCs w:val="17"/>
          <w:color w:val="auto"/>
        </w:rPr>
      </w:pPr>
    </w:p>
    <w:p>
      <w:pPr>
        <w:ind w:right="280" w:firstLine="423"/>
        <w:spacing w:after="0" w:line="291" w:lineRule="auto"/>
        <w:tabs>
          <w:tab w:leader="none" w:pos="657"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Any adjustment, substitution, determination of value or other action taken by the Committee under this Section 12 shall be conclusive and binding for all purposes.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13. Amendments and Termination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00" w:firstLine="423"/>
        <w:spacing w:after="0" w:line="265" w:lineRule="auto"/>
        <w:tabs>
          <w:tab w:leader="none" w:pos="65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Plan</w:t>
      </w:r>
      <w:r>
        <w:rPr>
          <w:rFonts w:ascii="Times New Roman" w:cs="Times New Roman" w:eastAsia="Times New Roman" w:hAnsi="Times New Roman"/>
          <w:sz w:val="17"/>
          <w:szCs w:val="17"/>
          <w:color w:val="auto"/>
        </w:rPr>
        <w:t xml:space="preserve">. The Board may amend, alter, suspend, discontinue, or terminate the Plan or any portion thereof at any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such amendment, alteration, suspension, discontinuance, or termination shall be made without stockholder approval if:</w:t>
      </w:r>
    </w:p>
    <w:p>
      <w:pPr>
        <w:spacing w:after="0" w:line="1" w:lineRule="exact"/>
        <w:rPr>
          <w:rFonts w:ascii="Times New Roman" w:cs="Times New Roman" w:eastAsia="Times New Roman" w:hAnsi="Times New Roman"/>
          <w:sz w:val="17"/>
          <w:szCs w:val="17"/>
          <w:color w:val="auto"/>
        </w:rPr>
      </w:pPr>
    </w:p>
    <w:p>
      <w:pPr>
        <w:spacing w:after="0" w:line="257" w:lineRule="auto"/>
        <w:tabs>
          <w:tab w:leader="none" w:pos="20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approval is required under Applicable Law; (ii) it would materially increase the number of securities which may be issued under the Plan (except for increases pursuant to Section 5 or 12 of the Plan), or (iii) it would materially modify the requirements for participation in the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any such amendment, alteration, suspension, discontinuance, or termination that would materially and adversely affect the rights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or any holder or beneficiary of any Award theretofore granted shall not to that extent be effective without the consent of the affected Participant, holder, or beneficiary. Notwithstanding the foregoing, no amendment shall be made to the last proviso of Section 13(b) of the Plan without stockholder approval.</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500"/>
          </w:cols>
          <w:pgMar w:left="660" w:top="264" w:right="739" w:bottom="1440" w:gutter="0" w:footer="0" w:header="0"/>
        </w:sectPr>
      </w:pPr>
    </w:p>
    <w:bookmarkStart w:id="27" w:name="page28"/>
    <w:bookmarkEnd w:id="27"/>
    <w:p>
      <w:pPr>
        <w:ind w:left="660" w:hanging="237"/>
        <w:spacing w:after="0"/>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Amendment of Award Agreements</w:t>
      </w:r>
      <w:r>
        <w:rPr>
          <w:rFonts w:ascii="Times New Roman" w:cs="Times New Roman" w:eastAsia="Times New Roman" w:hAnsi="Times New Roman"/>
          <w:sz w:val="17"/>
          <w:szCs w:val="17"/>
          <w:color w:val="auto"/>
        </w:rPr>
        <w:t>. The Committee may, to the extent consistent with the terms of the Plan and any applicable Award</w:t>
      </w:r>
    </w:p>
    <w:p>
      <w:pPr>
        <w:spacing w:after="0" w:line="30"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Agreement, waive any conditions or rights under, amend any terms of, or alter, suspend, discontinue, cancel, or terminate, any Award theretofore granted or the associated Award Agreement, prospectively or retroactively (including after a Participant’s 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other than pursuant to Section 12,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without stockholder approval, except as otherwise permitted under Section 12 of the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intrinsic value (if any) of the canceled Option or SAR; and (iii) the Committee may not take any other action which is considered a “repricing” for purposes of the stockholder approval rules of any securities exchange or inter-dealer quotation system on which the securities of the Company are listed or quoted.</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14. General</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423"/>
        <w:spacing w:after="0" w:line="261" w:lineRule="auto"/>
        <w:tabs>
          <w:tab w:leader="none" w:pos="65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Agreements</w:t>
      </w:r>
      <w:r>
        <w:rPr>
          <w:rFonts w:ascii="Times New Roman" w:cs="Times New Roman" w:eastAsia="Times New Roman" w:hAnsi="Times New Roman"/>
          <w:sz w:val="17"/>
          <w:szCs w:val="17"/>
          <w:color w:val="auto"/>
        </w:rPr>
        <w:t>. Each Award (other than an Other Cash-Based Award) under the Plan shall be evidenced by an Award Agreement, which shall be delivered to the Participant to whom such Award was granted and shall specify the terms and conditions of the Award and any rules applicable thereto, including, without limitation, the effect on such Award of the death, Disability, or Termination of a Participant, or of such other events as may be determined by the Committee. For purposes of the Plan, an Award Agreement may be in any such form (written or electronic) as determined by the Committee (including, without limitation, a Board or Committee resolution, an employment agreement, a notice, a certificate, or a letter) evidencing the Award. The Committee need not require an Award Agreement to be signed by the Participant or a duly authorized representative of the Company.</w:t>
      </w:r>
    </w:p>
    <w:p>
      <w:pPr>
        <w:spacing w:after="0" w:line="174"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420" w:firstLine="409"/>
        <w:spacing w:after="0" w:line="261" w:lineRule="auto"/>
        <w:tabs>
          <w:tab w:leader="none" w:pos="103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Award shall be exercisable only by such Participant to whom such Award was granted during the Participant’s lifetime, or, if permissible under Applicable Law, by the Participant’s legal guardian or representative. No Award may be assigned, alienated, pledged, attached, sold, or otherwise transferred or encumbered by a Participant (unless such transfer is specifically required pursuant to a domestic relations order or by Applicable Law) other than by will or by the laws of descent and distribution and any such purported assignment, alienation, pledge, attachment, sale, transfer, or encumbrance shall be void and unenforceable against any member of the Company Group;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designation of a beneficiary shall not constitute an assignment, alienation, pledge, attachment, sale, transfer, or encumbrance.</w:t>
      </w:r>
    </w:p>
    <w:p>
      <w:pPr>
        <w:spacing w:after="0" w:line="71" w:lineRule="exact"/>
        <w:rPr>
          <w:rFonts w:ascii="Times New Roman" w:cs="Times New Roman" w:eastAsia="Times New Roman" w:hAnsi="Times New Roman"/>
          <w:sz w:val="17"/>
          <w:szCs w:val="17"/>
          <w:color w:val="auto"/>
        </w:rPr>
      </w:pPr>
    </w:p>
    <w:p>
      <w:pPr>
        <w:ind w:left="420" w:right="340" w:firstLine="409"/>
        <w:spacing w:after="0" w:line="263" w:lineRule="auto"/>
        <w:tabs>
          <w:tab w:leader="none" w:pos="10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 (A) any Person who is a “family member” of the Participant, as such term is used in the instructions to Form S-8 under the Securities Act or any successor form of registration statement promulgated by the Securities and Exchange Commission (collectively, the “</w:t>
      </w:r>
      <w:r>
        <w:rPr>
          <w:rFonts w:ascii="Times New Roman" w:cs="Times New Roman" w:eastAsia="Times New Roman" w:hAnsi="Times New Roman"/>
          <w:sz w:val="17"/>
          <w:szCs w:val="17"/>
          <w:b w:val="1"/>
          <w:bCs w:val="1"/>
          <w:u w:val="single" w:color="auto"/>
          <w:color w:val="auto"/>
        </w:rPr>
        <w:t>Immediate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560"/>
          </w:cols>
          <w:pgMar w:left="660" w:top="264" w:right="679" w:bottom="1440" w:gutter="0" w:footer="0" w:header="0"/>
        </w:sectPr>
      </w:pPr>
    </w:p>
    <w:bookmarkStart w:id="28" w:name="page29"/>
    <w:bookmarkEnd w:id="28"/>
    <w:p>
      <w:pPr>
        <w:spacing w:after="0" w:line="262" w:lineRule="auto"/>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Family Members</w:t>
      </w:r>
      <w:r>
        <w:rPr>
          <w:rFonts w:ascii="Times New Roman" w:cs="Times New Roman" w:eastAsia="Times New Roman" w:hAnsi="Times New Roman"/>
          <w:sz w:val="17"/>
          <w:szCs w:val="17"/>
          <w:color w:val="auto"/>
        </w:rPr>
        <w:t>”); (B) a trust solely for the benefit of the Participant and the Participant’s Immediate Family Members; (C) a partnership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liability company whose only partners or stockholders are the Participant and the Participant’s Immediate Family Members; or (D) a beneficiary to whom donations are eligible to be treated as “charitable contributions” for federal income tax purposes (each transferee described in clauses (A), (B), (C), and (D) above is hereinafter referred to as a “</w:t>
      </w:r>
      <w:r>
        <w:rPr>
          <w:rFonts w:ascii="Times New Roman" w:cs="Times New Roman" w:eastAsia="Times New Roman" w:hAnsi="Times New Roman"/>
          <w:sz w:val="17"/>
          <w:szCs w:val="17"/>
          <w:b w:val="1"/>
          <w:bCs w:val="1"/>
          <w:u w:val="single" w:color="auto"/>
          <w:color w:val="auto"/>
        </w:rPr>
        <w:t>Permitted Transferee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68" w:lineRule="exact"/>
        <w:rPr>
          <w:sz w:val="20"/>
          <w:szCs w:val="20"/>
          <w:color w:val="auto"/>
        </w:rPr>
      </w:pPr>
    </w:p>
    <w:p>
      <w:pPr>
        <w:ind w:firstLine="409"/>
        <w:spacing w:after="0" w:line="258" w:lineRule="auto"/>
        <w:tabs>
          <w:tab w:leader="none" w:pos="708"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Award transferred in accordance with clause (ii) above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neither the Committee nor the Company shall be required to provide any notice to a Permitted Transferee, whether or not such notice is or would otherwise have been required to be given to the Participant under the Plan or otherwise; and (D) the consequences of a Participant’s Termination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177"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Dividend Equivalents</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firstLine="409"/>
        <w:spacing w:after="0" w:line="261" w:lineRule="auto"/>
        <w:tabs>
          <w:tab w:leader="none" w:pos="612"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in its sole discretion, provide a Participant as part of an Award with dividends, dividend equivalents, or similar payments in respect of Awards, or for OP Units, in respect of the number of shares of Common Stock underlying the award or other distributions from the Operating Company prior to vesting, payable in cash, shares of Common Stock, other securities, other Awards or other property (in each case, without interest), on a current or deferred basis, on such terms and conditions as may be determined by the Committee in its sole discretion, including, without limitation, payment directly to the Participant, withholding of such amounts by the Company subject to vesting of the Award or reinvestment in additional shares of Common Stock, Restricted Stock, OP Units or other Awards.</w:t>
      </w:r>
    </w:p>
    <w:p>
      <w:pPr>
        <w:spacing w:after="0" w:line="71" w:lineRule="exact"/>
        <w:rPr>
          <w:sz w:val="20"/>
          <w:szCs w:val="20"/>
          <w:color w:val="auto"/>
        </w:rPr>
      </w:pPr>
    </w:p>
    <w:p>
      <w:pPr>
        <w:ind w:firstLine="409"/>
        <w:spacing w:after="0" w:line="263" w:lineRule="auto"/>
        <w:tabs>
          <w:tab w:leader="none" w:pos="6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unless otherwise provided in the Award Agreement, any dividend otherwise payable in respect of any share of Restricted Stock that remains subject to vesting conditions at the time of payment of such dividend shall be retained by the Company, and remain subject to the same vesting conditions as the share of Restricted Stock to which the dividend relates and shall be delivered (without interest) to the Participant within 15 days following the date on which such restrictions on such Restricted Stock lapse (and the right to any such accumulated dividends shall be forfeited upon the forfeiture of the Restricted Stock to which such dividends relate).</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120"/>
          </w:cols>
          <w:pgMar w:left="1080" w:top="262" w:right="699" w:bottom="1440" w:gutter="0" w:footer="0" w:header="0"/>
        </w:sectPr>
      </w:pPr>
    </w:p>
    <w:bookmarkStart w:id="29" w:name="page30"/>
    <w:bookmarkEnd w:id="29"/>
    <w:p>
      <w:pPr>
        <w:ind w:right="40" w:firstLine="409"/>
        <w:spacing w:after="0" w:line="260" w:lineRule="auto"/>
        <w:tabs>
          <w:tab w:leader="none" w:pos="708"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To the extent provided in an Award Agreement, the holder of outstanding Restricted Stock Units shall be entitled to be credited with dividend equivalent payments (upon the payment by the Company of dividends on shares of Common Stock) either in cash or, in the sole discretion of the Committee, in shares of Common Stock having a Fair Market Value equal to the amount of such dividends (and interest may, in the sole discretion of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following the date on which the Restricted Period lapses with respect to such Restricted Stock Units, and if such Restricted Stock Units are forfeited, the Participant shall have no right to such dividend equivalent payments (or interest thereon, if applicable).</w:t>
      </w:r>
    </w:p>
    <w:p>
      <w:pPr>
        <w:spacing w:after="0" w:line="175"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right="80" w:firstLine="409"/>
        <w:spacing w:after="0" w:line="266" w:lineRule="auto"/>
        <w:tabs>
          <w:tab w:leader="none" w:pos="612"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shall be required to pay to the Company or one or more of its Subsidiaries, as applicable, an amount in cash (by check or wire transfer) equal to the aggregate amount of any income, employment, and/or other applicable taxes that are statutorily required to be withheld in respect of an Award. Alternatively, the Company or any of its Subsidiaries may elect, in its sole discretion, to satisfy this requirement by withholding such amount from any cash compensation or other cash amounts owing to a Participant.</w:t>
      </w:r>
    </w:p>
    <w:p>
      <w:pPr>
        <w:spacing w:after="0" w:line="66" w:lineRule="exact"/>
        <w:rPr>
          <w:sz w:val="20"/>
          <w:szCs w:val="20"/>
          <w:color w:val="auto"/>
        </w:rPr>
      </w:pPr>
    </w:p>
    <w:p>
      <w:pPr>
        <w:ind w:right="20" w:firstLine="409"/>
        <w:spacing w:after="0" w:line="259" w:lineRule="auto"/>
        <w:tabs>
          <w:tab w:leader="none" w:pos="6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the Committee may (but is not obligated to), in its sole discretion, permit or require a Participant to satisfy all or any portion of the minimum income, employment, and/or other applicable taxes that are statutorily required to be withheld with respect to an Award by: (A) the delivery of shares of Common Stock (which are not subject to any pledge or other security interest) that have been both held by the Participant and vested for at least six months (or such other period as established from time to time by the Committee in order to avoid adverse accounting treatment under applicable accounting standards) having an aggregate Fair Market Value equal to such minimum statutorily required withholding liability (or portion thereof); or (B) having the Company withhold from the shares of Common Stock otherwise issuable or deliverable to, or that would otherwise be retained by, the Participant upon the grant, exercise, vesting, or settlement of the Award, as applicable, a number of shares of Common Stock with an aggregate Fair Market Value equal to an amount, subject to clause (iii) below, not in excess of such minimum statutorily required withholding liability (or portion thereof).</w:t>
      </w:r>
    </w:p>
    <w:p>
      <w:pPr>
        <w:spacing w:after="0" w:line="69" w:lineRule="exact"/>
        <w:rPr>
          <w:rFonts w:ascii="Times New Roman" w:cs="Times New Roman" w:eastAsia="Times New Roman" w:hAnsi="Times New Roman"/>
          <w:sz w:val="17"/>
          <w:szCs w:val="17"/>
          <w:color w:val="auto"/>
        </w:rPr>
      </w:pPr>
    </w:p>
    <w:p>
      <w:pPr>
        <w:ind w:firstLine="409"/>
        <w:spacing w:after="0" w:line="273" w:lineRule="auto"/>
        <w:tabs>
          <w:tab w:leader="none" w:pos="70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subject to its having considered the applicable accounting impact of any such determination, has full discretion to allow Participants to satisfy, in whole or in part, any additional income, employment, and/or other applicable taxes payable by them with respect to an Award by electing to have the Company withhold from the shares of Common Stock otherwise issuable or deliverable to, or that would</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140"/>
          </w:cols>
          <w:pgMar w:left="1080" w:top="264" w:right="679" w:bottom="1440" w:gutter="0" w:footer="0" w:header="0"/>
        </w:sectPr>
      </w:pPr>
    </w:p>
    <w:bookmarkStart w:id="30" w:name="page31"/>
    <w:bookmarkEnd w:id="30"/>
    <w:p>
      <w:pPr>
        <w:ind w:left="380" w:right="10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otherwise be retained by, a Participant upon the grant, exercise, vesting, or settlement of the Award, as applicable, shares of Common Stock having an aggregate Fair Market Value that is greater than the applicable minimum required statutory withholding liability (but such withholding may in no event be in excess of the maximum statutory withholding amount(s) in a Participant’s relevant tax jurisdictions).</w:t>
      </w:r>
    </w:p>
    <w:p>
      <w:pPr>
        <w:spacing w:after="0" w:line="162" w:lineRule="exact"/>
        <w:rPr>
          <w:sz w:val="20"/>
          <w:szCs w:val="20"/>
          <w:color w:val="auto"/>
        </w:rPr>
      </w:pPr>
    </w:p>
    <w:p>
      <w:pPr>
        <w:ind w:left="-40" w:firstLine="423"/>
        <w:spacing w:after="0" w:line="263" w:lineRule="auto"/>
        <w:tabs>
          <w:tab w:leader="none" w:pos="61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Protection</w:t>
      </w:r>
      <w:r>
        <w:rPr>
          <w:rFonts w:ascii="Times New Roman" w:cs="Times New Roman" w:eastAsia="Times New Roman" w:hAnsi="Times New Roman"/>
          <w:sz w:val="17"/>
          <w:szCs w:val="17"/>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and manage the Plan. This data will include, but may not be limited to, data about participation in the Plan and shares offered or received, purchased, or sold under the Plan from time to time and other appropriate financial and other data (such as the date on which the Awards were granted) about the Participant and the Participant’s participation in the Plan.</w:t>
      </w:r>
    </w:p>
    <w:p>
      <w:pPr>
        <w:spacing w:after="0" w:line="172" w:lineRule="exact"/>
        <w:rPr>
          <w:rFonts w:ascii="Times New Roman" w:cs="Times New Roman" w:eastAsia="Times New Roman" w:hAnsi="Times New Roman"/>
          <w:sz w:val="17"/>
          <w:szCs w:val="17"/>
          <w:color w:val="auto"/>
        </w:rPr>
      </w:pPr>
    </w:p>
    <w:p>
      <w:pPr>
        <w:ind w:left="-40" w:firstLine="423"/>
        <w:spacing w:after="0" w:line="257" w:lineRule="auto"/>
        <w:tabs>
          <w:tab w:leader="none" w:pos="59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Claim to Awards; No Rights to Continued Employment; Waiver</w:t>
      </w:r>
      <w:r>
        <w:rPr>
          <w:rFonts w:ascii="Times New Roman" w:cs="Times New Roman" w:eastAsia="Times New Roman" w:hAnsi="Times New Roman"/>
          <w:sz w:val="17"/>
          <w:szCs w:val="17"/>
          <w:color w:val="auto"/>
        </w:rPr>
        <w:t>. No employee of any member of the Company Group,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Service Recipient or any other member of the Company Group, nor shall it be construed as giving any Participant any rights to continued service on the Board. The Service Recipient or any other member of the Company Group may at any time dismiss a Participant from employment or discontinue any consulting relationship, free from any liability or any claim under the Plan, unless otherwise expressly provided in the Plan or any Award Agreement. By accepting an Award under the Plan, a Participant shall thereby be deemed to have waived any claim to continued exercise or vesting of an Award or to damages or severance entitlement related to non-continuation of the Award beyond the period provided under the Plan or any Award Agreement, except to the extent of any provision to the contrary in any written employment contract or other agreement between the Service Recipient and/or any member of the Company Group and the Participant, whether any such agreement is executed before, on, or after the Date of Grant.</w:t>
      </w:r>
    </w:p>
    <w:p>
      <w:pPr>
        <w:spacing w:after="0" w:line="179" w:lineRule="exact"/>
        <w:rPr>
          <w:rFonts w:ascii="Times New Roman" w:cs="Times New Roman" w:eastAsia="Times New Roman" w:hAnsi="Times New Roman"/>
          <w:sz w:val="17"/>
          <w:szCs w:val="17"/>
          <w:color w:val="auto"/>
        </w:rPr>
      </w:pPr>
    </w:p>
    <w:p>
      <w:pPr>
        <w:ind w:left="-40" w:right="120" w:firstLine="423"/>
        <w:spacing w:after="0" w:line="266" w:lineRule="auto"/>
        <w:tabs>
          <w:tab w:leader="none" w:pos="62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International Participants</w:t>
      </w:r>
      <w:r>
        <w:rPr>
          <w:rFonts w:ascii="Times New Roman" w:cs="Times New Roman" w:eastAsia="Times New Roman" w:hAnsi="Times New Roman"/>
          <w:sz w:val="17"/>
          <w:szCs w:val="17"/>
          <w:color w:val="auto"/>
        </w:rPr>
        <w:t>. With respect to Participants who reside or work outside of the United States of America, the Committee may, in its sole discretion, amend the terms of the Plan and create or amend Sub-Plans or amend outstanding Awards with respect to such Participants in order to permit or facilitate participation in the Plan by such Participants, conform such terms with the requirements of Applicable Law or to obtain more favorable tax or other treatment for a Participant or any member of the Company Group.</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500"/>
          </w:cols>
          <w:pgMar w:left="700" w:top="264" w:right="699" w:bottom="1440" w:gutter="0" w:footer="0" w:header="0"/>
        </w:sectPr>
      </w:pPr>
    </w:p>
    <w:bookmarkStart w:id="31" w:name="page32"/>
    <w:bookmarkEnd w:id="31"/>
    <w:p>
      <w:pPr>
        <w:ind w:left="-20" w:right="20" w:firstLine="423"/>
        <w:spacing w:after="0" w:line="260" w:lineRule="auto"/>
        <w:tabs>
          <w:tab w:leader="none" w:pos="64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Designation and Change of Beneficiary</w:t>
      </w:r>
      <w:r>
        <w:rPr>
          <w:rFonts w:ascii="Times New Roman" w:cs="Times New Roman" w:eastAsia="Times New Roman" w:hAnsi="Times New Roman"/>
          <w:sz w:val="17"/>
          <w:szCs w:val="17"/>
          <w:color w:val="auto"/>
        </w:rPr>
        <w:t xml:space="preserve">. Each Participant may file with the Committee a written designation of one or more Persons as the beneficiary or beneficiaries, as applicable, who shall be entitled to receive the amounts payable with respect to an Award, if any, due under the Plan upon the Participant’s death. A Participant may, from time to time, revoke or change the Participant’s beneficiary designation without the consent of any prior beneficiary by filing a new designation with the Committee. The last such designation received by the Committee shall be controlling;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designation, or change or revocation thereof, shall be effective unless received by the Committee prior to the Participant’s death,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 event shall it be effective as of a date prior to such receipt. If no beneficiary designation is filed by a Participant, the beneficiary shall be deemed to be the Participant’s spouse or, if the Participant is unmarried at the time of death, the Participant’s estate.</w:t>
      </w:r>
    </w:p>
    <w:p>
      <w:pPr>
        <w:spacing w:after="0" w:line="175" w:lineRule="exact"/>
        <w:rPr>
          <w:rFonts w:ascii="Times New Roman" w:cs="Times New Roman" w:eastAsia="Times New Roman" w:hAnsi="Times New Roman"/>
          <w:sz w:val="17"/>
          <w:szCs w:val="17"/>
          <w:color w:val="auto"/>
        </w:rPr>
      </w:pPr>
    </w:p>
    <w:p>
      <w:pPr>
        <w:ind w:left="-20" w:right="40" w:firstLine="423"/>
        <w:spacing w:after="0" w:line="259" w:lineRule="auto"/>
        <w:tabs>
          <w:tab w:leader="none" w:pos="60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Except as otherwise provided in an Award Agreement, unless determined otherwise by the Committee in connection with or at any point following such event: (i) neither a temporary absence from employment or service due to illness, vacation, or leave of absence (including, without limitation, a call to active duty for military service through a Reserve or National Guard unit) nor a transfer from employment or service with one Service Recipient to employment or service with another Service Recipient (or vice-versa) shall be considered a Termination; and (ii) if a Participant undergoes a Termination, but such Participant continues to provide services to the Company Group in a non-employee capacity, such change in status shall not be considered a Termination for purposes of the Plan. Further, unless otherwise determined by the Committee, in the event that any Service Recipient ceases to be a member of the Company Group (by reason of sale, divestiture, spin-off, or other similar transaction), unless a Participant’s employment or service is transferred to another entity that would constitute a Service Recipient immediately following such transaction, such Participant shall be deemed to have suffered a Termination hereunder as of the date of the consummation of such transaction.</w:t>
      </w:r>
    </w:p>
    <w:p>
      <w:pPr>
        <w:spacing w:after="0" w:line="173" w:lineRule="exact"/>
        <w:rPr>
          <w:rFonts w:ascii="Times New Roman" w:cs="Times New Roman" w:eastAsia="Times New Roman" w:hAnsi="Times New Roman"/>
          <w:sz w:val="17"/>
          <w:szCs w:val="17"/>
          <w:color w:val="auto"/>
        </w:rPr>
      </w:pPr>
    </w:p>
    <w:p>
      <w:pPr>
        <w:ind w:left="-20" w:right="40" w:firstLine="423"/>
        <w:spacing w:after="0" w:line="273" w:lineRule="auto"/>
        <w:tabs>
          <w:tab w:leader="none" w:pos="60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a Stockholder</w:t>
      </w:r>
      <w:r>
        <w:rPr>
          <w:rFonts w:ascii="Times New Roman" w:cs="Times New Roman" w:eastAsia="Times New Roman" w:hAnsi="Times New Roman"/>
          <w:sz w:val="17"/>
          <w:szCs w:val="17"/>
          <w:color w:val="auto"/>
        </w:rPr>
        <w:t>. Except as otherwise specifically provided in the Plan or any Award Agreement, no Person shall be entitled to the privileges of ownership in respect of shares of Common Stock which are subject to Awards hereunder until such shares have been issued or delivered to such Person.</w:t>
      </w:r>
    </w:p>
    <w:p>
      <w:pPr>
        <w:spacing w:after="0" w:line="161" w:lineRule="exact"/>
        <w:rPr>
          <w:rFonts w:ascii="Times New Roman" w:cs="Times New Roman" w:eastAsia="Times New Roman" w:hAnsi="Times New Roman"/>
          <w:sz w:val="17"/>
          <w:szCs w:val="17"/>
          <w:color w:val="auto"/>
        </w:rPr>
      </w:pPr>
    </w:p>
    <w:p>
      <w:pPr>
        <w:ind w:left="640" w:hanging="237"/>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Government and Other Regulations</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400" w:firstLine="409"/>
        <w:spacing w:after="0" w:line="258" w:lineRule="auto"/>
        <w:tabs>
          <w:tab w:leader="none" w:pos="101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 of the Company to settle Awards in shares of Common Stock or other consideration shall be subject to all Applicable Law.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(if the Company has requested such an opinion),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Common Stock to be offered or sold under the Plan. The Committee shall have the authority to provide that all shares of Common Stock or other securities of any member of the Company Group issued under the Plan shall be subject to such stop transfer orders and other restrictions as the Committee may deem advisable under the Plan, the applicable Award Agreement, and Applicable Law, and, without limiting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520"/>
          </w:cols>
          <w:pgMar w:left="680" w:top="264" w:right="699" w:bottom="1440" w:gutter="0" w:footer="0" w:header="0"/>
        </w:sectPr>
      </w:pPr>
    </w:p>
    <w:bookmarkStart w:id="32" w:name="page33"/>
    <w:bookmarkEnd w:id="32"/>
    <w:p>
      <w:pPr>
        <w:ind w:left="420"/>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generality of Section 9 of the Plan, the Committee may cause a legend or legends to be put on certificates representing shares of Common Stock or other securities of any member of the Company Group issued under the Plan to make appropriate reference to such restrictions or may cause such Common Stock or other securities of any member of the Company Group issued under the Plan in book-entry form to be held subject to the Company’s instructions or subject to appropriate stop-transfer orders. Notwithstanding any provision in the Plan to the contrary, the Committee reserves the right to add, at any time, any additional terms or provisions to any Award granted under the Plan that the Committee, in its sole discretion, deems necessary or advisable in order that such Award complies with the legal requirements of any governmental entity to whose jurisdiction the Award is subject.</w:t>
      </w:r>
    </w:p>
    <w:p>
      <w:pPr>
        <w:spacing w:after="0" w:line="72" w:lineRule="exact"/>
        <w:rPr>
          <w:sz w:val="20"/>
          <w:szCs w:val="20"/>
          <w:color w:val="auto"/>
        </w:rPr>
      </w:pPr>
    </w:p>
    <w:p>
      <w:pPr>
        <w:ind w:left="420" w:right="60" w:firstLine="409"/>
        <w:spacing w:after="0" w:line="257" w:lineRule="auto"/>
        <w:tabs>
          <w:tab w:leader="none" w:pos="10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cancel an Award or any portion thereof if it determines, in its sole discretion,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the Company shall, subject to any limitations or reductions as may be necessary to comply with Section 409A of the Code: (A) pay to the Participant an amount equal to the excess of (I) the aggregate Fair Market Value of the shares of Common Stock subject to such Award or portion thereof canceled (determined as of the applicable exercise date, or the date that the shares would have been vested or issued, as applicable), over (II) the aggregate Exercise Price or Strike Price (in the case of an Option or SAR, respectively) or any amount payable as a condition of issuance of shares of Common Stock (in the case of any other Award), with such amount being delivered to the Participant as soon as practicable following the cancellation of such Award (or portion thereof) or (B) in the case of Restricted Stock, Restricted Stock Units, or Other Equity-Based Awards, provide the Participant with a cash payment or equity subject to deferred vesting and delivery consistent with the vesting restrictions applicable to such Restricted Stock, Restricted Stock Units, or Other Equity-Based Awards, or the underlying shares in respect thereof.</w:t>
      </w:r>
    </w:p>
    <w:p>
      <w:pPr>
        <w:spacing w:after="0" w:line="179" w:lineRule="exact"/>
        <w:rPr>
          <w:rFonts w:ascii="Times New Roman" w:cs="Times New Roman" w:eastAsia="Times New Roman" w:hAnsi="Times New Roman"/>
          <w:sz w:val="17"/>
          <w:szCs w:val="17"/>
          <w:color w:val="auto"/>
        </w:rPr>
      </w:pPr>
    </w:p>
    <w:p>
      <w:pPr>
        <w:ind w:firstLine="423"/>
        <w:spacing w:after="0" w:line="261" w:lineRule="auto"/>
        <w:tabs>
          <w:tab w:leader="none" w:pos="62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Section 83(b) Elections Without Consent of Company</w:t>
      </w:r>
      <w:r>
        <w:rPr>
          <w:rFonts w:ascii="Times New Roman" w:cs="Times New Roman" w:eastAsia="Times New Roman" w:hAnsi="Times New Roman"/>
          <w:sz w:val="17"/>
          <w:szCs w:val="17"/>
          <w:color w:val="auto"/>
        </w:rPr>
        <w:t>. Except with respect to OP Units, no election under Section 83(b) of the Code or under a similar provision of law may be made unless expressly permitted by the terms of the applicable Award Agreement or by action of the Committee (or its designee in accordance with Section 4(c) of the Plan) in writing prior to the making of such election. If a Participant, in connection with the acquisition of shares of Common Stock or OP Units under the Plan or otherwise, is expressly permitted to make such election and the Participant makes the election, the Participant shall notify the Company of such election within ten days after filing notice of the election with the Internal Revenue Service or other governmental authority, in addition to any filing and notification required pursuant to Section 83(b) of the Code or other applicable provision.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560"/>
          </w:cols>
          <w:pgMar w:left="660" w:top="264" w:right="679" w:bottom="1440" w:gutter="0" w:footer="0" w:header="0"/>
        </w:sectPr>
      </w:pPr>
    </w:p>
    <w:bookmarkStart w:id="33" w:name="page34"/>
    <w:bookmarkEnd w:id="33"/>
    <w:p>
      <w:pPr>
        <w:ind w:left="-20" w:firstLine="423"/>
        <w:spacing w:after="0" w:line="261" w:lineRule="auto"/>
        <w:tabs>
          <w:tab w:leader="none" w:pos="69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Payments to Persons Other Than Participants</w:t>
      </w:r>
      <w:r>
        <w:rPr>
          <w:rFonts w:ascii="Times New Roman" w:cs="Times New Roman" w:eastAsia="Times New Roman" w:hAnsi="Times New Roman"/>
          <w:sz w:val="17"/>
          <w:szCs w:val="17"/>
          <w:color w:val="auto"/>
        </w:rPr>
        <w:t>. If the Committee shall find that any Person to whom any amount is payable under the Plan is unable to care for the Participant’s affairs because of illness or accident, or is a minor, or has died, then any payment due to such Person or the Participant’s estate (unless a prior claim therefor has been made by a duly appointed legal representative) may, if the Committee so directs the Company, be paid to the Participant’s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4" w:lineRule="exact"/>
        <w:rPr>
          <w:rFonts w:ascii="Times New Roman" w:cs="Times New Roman" w:eastAsia="Times New Roman" w:hAnsi="Times New Roman"/>
          <w:sz w:val="17"/>
          <w:szCs w:val="17"/>
          <w:color w:val="auto"/>
        </w:rPr>
      </w:pPr>
    </w:p>
    <w:p>
      <w:pPr>
        <w:ind w:left="-20" w:right="160" w:firstLine="423"/>
        <w:spacing w:after="0" w:line="266" w:lineRule="auto"/>
        <w:tabs>
          <w:tab w:leader="none" w:pos="64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Nonexclusivity of the Plan</w:t>
      </w:r>
      <w:r>
        <w:rPr>
          <w:rFonts w:ascii="Times New Roman" w:cs="Times New Roman" w:eastAsia="Times New Roman" w:hAnsi="Times New Roman"/>
          <w:sz w:val="17"/>
          <w:szCs w:val="17"/>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equity based awards otherwise than under the Plan, and such arrangements may be either applicable generally or only in specific cases.</w:t>
      </w:r>
    </w:p>
    <w:p>
      <w:pPr>
        <w:spacing w:after="0" w:line="169" w:lineRule="exact"/>
        <w:rPr>
          <w:rFonts w:ascii="Times New Roman" w:cs="Times New Roman" w:eastAsia="Times New Roman" w:hAnsi="Times New Roman"/>
          <w:sz w:val="17"/>
          <w:szCs w:val="17"/>
          <w:color w:val="auto"/>
        </w:rPr>
      </w:pPr>
    </w:p>
    <w:p>
      <w:pPr>
        <w:ind w:left="-20" w:right="40" w:firstLine="423"/>
        <w:spacing w:after="0" w:line="260" w:lineRule="auto"/>
        <w:tabs>
          <w:tab w:leader="none" w:pos="64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Trust or Fund Created</w:t>
      </w:r>
      <w:r>
        <w:rPr>
          <w:rFonts w:ascii="Times New Roman" w:cs="Times New Roman" w:eastAsia="Times New Roman" w:hAnsi="Times New Roman"/>
          <w:sz w:val="17"/>
          <w:szCs w:val="17"/>
          <w:color w:val="auto"/>
        </w:rPr>
        <w:t>. Neither the Plan nor any Award shall create or be construed to create a trust or separate fund of any kind or a fiduciary relationship between any member of the Company Group, on the one hand, and a Participant or other Person, on the other hand. No provision of the Plan or any Award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175" w:lineRule="exact"/>
        <w:rPr>
          <w:rFonts w:ascii="Times New Roman" w:cs="Times New Roman" w:eastAsia="Times New Roman" w:hAnsi="Times New Roman"/>
          <w:sz w:val="17"/>
          <w:szCs w:val="17"/>
          <w:color w:val="auto"/>
        </w:rPr>
      </w:pPr>
    </w:p>
    <w:p>
      <w:pPr>
        <w:ind w:left="-20" w:right="140" w:firstLine="423"/>
        <w:spacing w:after="0" w:line="266" w:lineRule="auto"/>
        <w:tabs>
          <w:tab w:leader="none" w:pos="64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on Reports</w:t>
      </w:r>
      <w:r>
        <w:rPr>
          <w:rFonts w:ascii="Times New Roman" w:cs="Times New Roman" w:eastAsia="Times New Roman" w:hAnsi="Times New Roman"/>
          <w:sz w:val="17"/>
          <w:szCs w:val="17"/>
          <w:color w:val="auto"/>
        </w:rPr>
        <w:t>. Each member of the Committee and each member of the Board shall be fully justified in acting or failing to act, as the case may be, and shall not be liable for having so acted or failed to act in good faith, in reliance upon any report made by the independent public accountant of any member of the Company Group and/or any other information furnished in connection with the Plan by any agent of the Company or the Committee or the Board, other than himself or herself.</w:t>
      </w:r>
    </w:p>
    <w:p>
      <w:pPr>
        <w:spacing w:after="0" w:line="169" w:lineRule="exact"/>
        <w:rPr>
          <w:rFonts w:ascii="Times New Roman" w:cs="Times New Roman" w:eastAsia="Times New Roman" w:hAnsi="Times New Roman"/>
          <w:sz w:val="17"/>
          <w:szCs w:val="17"/>
          <w:color w:val="auto"/>
        </w:rPr>
      </w:pPr>
    </w:p>
    <w:p>
      <w:pPr>
        <w:ind w:left="-20" w:right="440" w:firstLine="423"/>
        <w:spacing w:after="0" w:line="273" w:lineRule="auto"/>
        <w:tabs>
          <w:tab w:leader="none" w:pos="64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Relationship to Other Benefits</w:t>
      </w:r>
      <w:r>
        <w:rPr>
          <w:rFonts w:ascii="Times New Roman" w:cs="Times New Roman" w:eastAsia="Times New Roman" w:hAnsi="Times New Roman"/>
          <w:sz w:val="17"/>
          <w:szCs w:val="17"/>
          <w:color w:val="auto"/>
        </w:rPr>
        <w:t>. No payment under the Plan shall be taken into account in determining any benefits under any pension, retirement, profit sharing, group insurance, or other benefit plan of the Company except as otherwise specifically provided in such other plan or as required by Applicable Law.</w:t>
      </w:r>
    </w:p>
    <w:p>
      <w:pPr>
        <w:spacing w:after="0" w:line="161" w:lineRule="exact"/>
        <w:rPr>
          <w:rFonts w:ascii="Times New Roman" w:cs="Times New Roman" w:eastAsia="Times New Roman" w:hAnsi="Times New Roman"/>
          <w:sz w:val="17"/>
          <w:szCs w:val="17"/>
          <w:color w:val="auto"/>
        </w:rPr>
      </w:pPr>
    </w:p>
    <w:p>
      <w:pPr>
        <w:ind w:left="-20" w:right="440" w:firstLine="423"/>
        <w:spacing w:after="0" w:line="263" w:lineRule="auto"/>
        <w:tabs>
          <w:tab w:leader="none" w:pos="61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Plan shall be governed by and construed in accordance with the internal laws of the State of Delaware applicable to contracts made and performed wholly within the State of Delaware, without giving effect to the conflict of laws’ provisions thereof. EACH PARTICIPANT WHO ACCEPTS AN AWARD IRREVOCABLY WAIVES ALL RIGHT TO A TRIAL BY JURY IN ANY SUIT, ACTION, OR OTHER PROCEEDING INSTITUTED BY OR AGAINST SUCH PARTICIPANT IN RESPECT OF THE PARTICIPANT’S RIGHTS OR OBLIGATIONS HEREUNDER.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520"/>
          </w:cols>
          <w:pgMar w:left="680" w:top="264" w:right="699" w:bottom="1440" w:gutter="0" w:footer="0" w:header="0"/>
        </w:sectPr>
      </w:pPr>
    </w:p>
    <w:bookmarkStart w:id="34" w:name="page35"/>
    <w:bookmarkEnd w:id="34"/>
    <w:p>
      <w:pPr>
        <w:ind w:right="40" w:firstLine="423"/>
        <w:spacing w:after="0" w:line="263" w:lineRule="auto"/>
        <w:tabs>
          <w:tab w:leader="none" w:pos="64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Severability</w:t>
      </w:r>
      <w:r>
        <w:rPr>
          <w:rFonts w:ascii="Times New Roman" w:cs="Times New Roman" w:eastAsia="Times New Roman" w:hAnsi="Times New Roman"/>
          <w:sz w:val="17"/>
          <w:szCs w:val="17"/>
          <w:color w:val="auto"/>
        </w:rPr>
        <w:t>. If any provision of the Plan or any Award or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72" w:lineRule="exact"/>
        <w:rPr>
          <w:rFonts w:ascii="Times New Roman" w:cs="Times New Roman" w:eastAsia="Times New Roman" w:hAnsi="Times New Roman"/>
          <w:sz w:val="17"/>
          <w:szCs w:val="17"/>
          <w:color w:val="auto"/>
        </w:rPr>
      </w:pPr>
    </w:p>
    <w:p>
      <w:pPr>
        <w:ind w:right="520" w:firstLine="423"/>
        <w:spacing w:after="0" w:line="273" w:lineRule="auto"/>
        <w:tabs>
          <w:tab w:leader="none" w:pos="62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Binding on Successors</w:t>
      </w:r>
      <w:r>
        <w:rPr>
          <w:rFonts w:ascii="Times New Roman" w:cs="Times New Roman" w:eastAsia="Times New Roman" w:hAnsi="Times New Roman"/>
          <w:sz w:val="17"/>
          <w:szCs w:val="17"/>
          <w:color w:val="auto"/>
        </w:rPr>
        <w:t>.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61"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 of the Code</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420" w:right="20" w:firstLine="409"/>
        <w:spacing w:after="0" w:line="259" w:lineRule="auto"/>
        <w:tabs>
          <w:tab w:leader="none" w:pos="1032"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of the Plan to the contrary, it is intended that the provisions of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(including any taxes and penalties under Section 409A of the Code), and neither the Service Recipient nor any other member of the Company Group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69" w:lineRule="exact"/>
        <w:rPr>
          <w:rFonts w:ascii="Times New Roman" w:cs="Times New Roman" w:eastAsia="Times New Roman" w:hAnsi="Times New Roman"/>
          <w:sz w:val="17"/>
          <w:szCs w:val="17"/>
          <w:color w:val="auto"/>
        </w:rPr>
      </w:pPr>
    </w:p>
    <w:p>
      <w:pPr>
        <w:ind w:left="420" w:firstLine="409"/>
        <w:spacing w:after="0" w:line="261" w:lineRule="auto"/>
        <w:tabs>
          <w:tab w:leader="none" w:pos="10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 Plan to the contrary, if a Participant is a “specified employee” within the meaning of Section 409A(a)(2) (B)(i) of the Code, no payments in respect of any Awards that are “deferred compensation” subject to Section 409A of the Code and which would otherwise be payable upon the Participant’s “separation from service” (as defined in Section 409A of the Code) shall be made to such Participant prior to the date that is six months after the date of such Participant’s “separation from service” or, if earlier, the date of the Participant’s death. Following any applicable six-month delay, all such delayed payments will be paid in a single lump sum on the earliest date permitted under Section 409A of the Code that is also a business day.</w:t>
      </w:r>
    </w:p>
    <w:p>
      <w:pPr>
        <w:spacing w:after="0" w:line="71" w:lineRule="exact"/>
        <w:rPr>
          <w:rFonts w:ascii="Times New Roman" w:cs="Times New Roman" w:eastAsia="Times New Roman" w:hAnsi="Times New Roman"/>
          <w:sz w:val="17"/>
          <w:szCs w:val="17"/>
          <w:color w:val="auto"/>
        </w:rPr>
      </w:pPr>
    </w:p>
    <w:p>
      <w:pPr>
        <w:ind w:left="420" w:firstLine="409"/>
        <w:spacing w:after="0" w:line="261" w:lineRule="auto"/>
        <w:tabs>
          <w:tab w:leader="none" w:pos="11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by the Committee in an Award Agreement or otherwise, in the event that the timing of payments in respect of any Award (that would otherwise be considered “deferred compensation” subject to Section 409A of the Code) are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or (B) a Disability, no such acceleration shall be permitted unless the Disability also satisfies the definition of “Disability” pursuant to Section 409A of the Code.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560"/>
          </w:cols>
          <w:pgMar w:left="660" w:top="264" w:right="679" w:bottom="1440" w:gutter="0" w:footer="0" w:header="0"/>
        </w:sectPr>
      </w:pPr>
    </w:p>
    <w:bookmarkStart w:id="35" w:name="page36"/>
    <w:bookmarkEnd w:id="35"/>
    <w:p>
      <w:pPr>
        <w:ind w:left="660" w:hanging="237"/>
        <w:spacing w:after="0"/>
        <w:tabs>
          <w:tab w:leader="none" w:pos="6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Clawback/Repayment</w:t>
      </w:r>
      <w:r>
        <w:rPr>
          <w:rFonts w:ascii="Times New Roman" w:cs="Times New Roman" w:eastAsia="Times New Roman" w:hAnsi="Times New Roman"/>
          <w:sz w:val="17"/>
          <w:szCs w:val="17"/>
          <w:color w:val="auto"/>
        </w:rPr>
        <w:t>. All Awards shall be subject to reduction, cancellation, forfeiture or recoupment to the extent necessary to comply with</w:t>
      </w:r>
    </w:p>
    <w:p>
      <w:pPr>
        <w:spacing w:after="0" w:line="30" w:lineRule="exact"/>
        <w:rPr>
          <w:rFonts w:ascii="Times New Roman" w:cs="Times New Roman" w:eastAsia="Times New Roman" w:hAnsi="Times New Roman"/>
          <w:sz w:val="17"/>
          <w:szCs w:val="17"/>
          <w:color w:val="auto"/>
        </w:rPr>
      </w:pPr>
    </w:p>
    <w:p>
      <w:pPr>
        <w:ind w:right="20"/>
        <w:spacing w:after="0" w:line="257" w:lineRule="auto"/>
        <w:tabs>
          <w:tab w:leader="none" w:pos="20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clawback, forfeiture or other similar policy adopted by the Board or the Committee and as in effect from time to time, including, without limitation, the Medline Inc. Clawback Policy; and (ii) Applicable Law. Further, unless otherwise determined by the Committee,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77" w:lineRule="exact"/>
        <w:rPr>
          <w:rFonts w:ascii="Times New Roman" w:cs="Times New Roman" w:eastAsia="Times New Roman" w:hAnsi="Times New Roman"/>
          <w:sz w:val="17"/>
          <w:szCs w:val="17"/>
          <w:color w:val="auto"/>
        </w:rPr>
      </w:pPr>
    </w:p>
    <w:p>
      <w:pPr>
        <w:ind w:right="120" w:firstLine="423"/>
        <w:spacing w:after="0" w:line="291" w:lineRule="auto"/>
        <w:tabs>
          <w:tab w:leader="none" w:pos="705"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Detrimental Activity</w:t>
      </w:r>
      <w:r>
        <w:rPr>
          <w:rFonts w:ascii="Times New Roman" w:cs="Times New Roman" w:eastAsia="Times New Roman" w:hAnsi="Times New Roman"/>
          <w:sz w:val="17"/>
          <w:szCs w:val="17"/>
          <w:color w:val="auto"/>
        </w:rPr>
        <w:t>. Notwithstanding anything to the contrary contained herein, if a Participant has engaged in any Detrimental Activity, as determined by the Committee, the Committee may, in its sole discretion, provide for one or more of the following:</w:t>
      </w:r>
    </w:p>
    <w:p>
      <w:pPr>
        <w:spacing w:after="0" w:line="43" w:lineRule="exact"/>
        <w:rPr>
          <w:rFonts w:ascii="Times New Roman" w:cs="Times New Roman" w:eastAsia="Times New Roman" w:hAnsi="Times New Roman"/>
          <w:sz w:val="17"/>
          <w:szCs w:val="17"/>
          <w:color w:val="auto"/>
        </w:rPr>
      </w:pPr>
    </w:p>
    <w:p>
      <w:pPr>
        <w:ind w:left="1040" w:hanging="211"/>
        <w:spacing w:after="0"/>
        <w:tabs>
          <w:tab w:leader="none" w:pos="104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any or all of such Participant’s outstanding Awards; or</w:t>
      </w:r>
    </w:p>
    <w:p>
      <w:pPr>
        <w:spacing w:after="0" w:line="115" w:lineRule="exact"/>
        <w:rPr>
          <w:rFonts w:ascii="Times New Roman" w:cs="Times New Roman" w:eastAsia="Times New Roman" w:hAnsi="Times New Roman"/>
          <w:sz w:val="17"/>
          <w:szCs w:val="17"/>
          <w:color w:val="auto"/>
        </w:rPr>
      </w:pPr>
    </w:p>
    <w:p>
      <w:pPr>
        <w:ind w:left="420" w:right="180" w:firstLine="409"/>
        <w:spacing w:after="0" w:line="291" w:lineRule="auto"/>
        <w:tabs>
          <w:tab w:leader="none" w:pos="1079"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forfeiture by the Participant of any gain realized on the vesting or exercise of Awards, and repayment of any such gain promptly to the Company.</w:t>
      </w:r>
    </w:p>
    <w:p>
      <w:pPr>
        <w:spacing w:after="0" w:line="147" w:lineRule="exact"/>
        <w:rPr>
          <w:rFonts w:ascii="Times New Roman" w:cs="Times New Roman" w:eastAsia="Times New Roman" w:hAnsi="Times New Roman"/>
          <w:sz w:val="17"/>
          <w:szCs w:val="17"/>
          <w:color w:val="auto"/>
        </w:rPr>
      </w:pPr>
    </w:p>
    <w:p>
      <w:pPr>
        <w:ind w:firstLine="423"/>
        <w:spacing w:after="0" w:line="259" w:lineRule="auto"/>
        <w:tabs>
          <w:tab w:leader="none" w:pos="66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Offset</w:t>
      </w:r>
      <w:r>
        <w:rPr>
          <w:rFonts w:ascii="Times New Roman" w:cs="Times New Roman" w:eastAsia="Times New Roman" w:hAnsi="Times New Roman"/>
          <w:sz w:val="17"/>
          <w:szCs w:val="17"/>
          <w:color w:val="auto"/>
        </w:rPr>
        <w:t>. The Company will have the right to offset against its obligation to deliver shares of Common Stock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Participant then owes to any member of the Company Group and any amounts the Committee otherwise deems appropriate pursuant to any tax equalization policy or agreement. Notwithstanding the foregoing, if an Award is “deferred compensation” subject to Section 409A of the Code, the Committee will have no right to offset against its obligation to deliver shares of Common Stock (or other property or cash) under the Plan or any Award Agreement if such offset could subject the Participant to the additional tax imposed under Section 409A of the Code in respect of an outstanding Award.</w:t>
      </w:r>
    </w:p>
    <w:p>
      <w:pPr>
        <w:spacing w:after="0" w:line="177" w:lineRule="exact"/>
        <w:rPr>
          <w:rFonts w:ascii="Times New Roman" w:cs="Times New Roman" w:eastAsia="Times New Roman" w:hAnsi="Times New Roman"/>
          <w:sz w:val="17"/>
          <w:szCs w:val="17"/>
          <w:color w:val="auto"/>
        </w:rPr>
      </w:pPr>
    </w:p>
    <w:p>
      <w:pPr>
        <w:jc w:val="both"/>
        <w:ind w:right="140" w:firstLine="423"/>
        <w:spacing w:after="0" w:line="273" w:lineRule="auto"/>
        <w:tabs>
          <w:tab w:leader="none" w:pos="66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 Titles and Headings</w:t>
      </w:r>
      <w:r>
        <w:rPr>
          <w:rFonts w:ascii="Times New Roman" w:cs="Times New Roman" w:eastAsia="Times New Roman" w:hAnsi="Times New Roman"/>
          <w:sz w:val="17"/>
          <w:szCs w:val="17"/>
          <w:color w:val="auto"/>
        </w:rPr>
        <w:t>. The expenses of administering the Plan shall be borne by the Company Group. The titles and headings of the sections in the Plan are for convenience of reference only, and in the event of any conflict, the text of the Plan, rather than such titles or headings, shall control.</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540"/>
          </w:cols>
          <w:pgMar w:left="660" w:top="264" w:right="6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MEDLINE INC.</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EMPLOYEE STOCK PURCHASE PLAN</w:t>
      </w:r>
    </w:p>
    <w:p>
      <w:pPr>
        <w:spacing w:after="0" w:line="245" w:lineRule="exact"/>
        <w:rPr>
          <w:sz w:val="20"/>
          <w:szCs w:val="20"/>
          <w:color w:val="auto"/>
        </w:rPr>
      </w:pPr>
    </w:p>
    <w:p>
      <w:pPr>
        <w:ind w:left="420" w:hanging="420"/>
        <w:spacing w:after="0"/>
        <w:tabs>
          <w:tab w:leader="none" w:pos="4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Purpose and Term</w:t>
      </w:r>
      <w:r>
        <w:rPr>
          <w:rFonts w:ascii="Times New Roman" w:cs="Times New Roman" w:eastAsia="Times New Roman" w:hAnsi="Times New Roman"/>
          <w:sz w:val="17"/>
          <w:szCs w:val="17"/>
          <w:b w:val="1"/>
          <w:bCs w:val="1"/>
          <w:color w:val="auto"/>
        </w:rPr>
        <w:t>.</w:t>
      </w:r>
    </w:p>
    <w:p>
      <w:pPr>
        <w:spacing w:after="0" w:line="115" w:lineRule="exact"/>
        <w:rPr>
          <w:rFonts w:ascii="Times New Roman" w:cs="Times New Roman" w:eastAsia="Times New Roman" w:hAnsi="Times New Roman"/>
          <w:sz w:val="17"/>
          <w:szCs w:val="17"/>
          <w:b w:val="1"/>
          <w:bCs w:val="1"/>
          <w:color w:val="auto"/>
        </w:rPr>
      </w:pPr>
    </w:p>
    <w:p>
      <w:pPr>
        <w:jc w:val="both"/>
        <w:ind w:firstLine="423"/>
        <w:spacing w:after="0" w:line="260" w:lineRule="auto"/>
        <w:tabs>
          <w:tab w:leader="none" w:pos="66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the Medline Inc. 2025 Employee Stock Purchase Plan, as it may be amended and/or restated from time to time (the “</w:t>
      </w:r>
      <w:r>
        <w:rPr>
          <w:rFonts w:ascii="Times New Roman" w:cs="Times New Roman" w:eastAsia="Times New Roman" w:hAnsi="Times New Roman"/>
          <w:sz w:val="17"/>
          <w:szCs w:val="17"/>
          <w:b w:val="1"/>
          <w:bCs w:val="1"/>
          <w:u w:val="single" w:color="auto"/>
          <w:color w:val="auto"/>
        </w:rPr>
        <w:t>Plan</w:t>
      </w:r>
      <w:r>
        <w:rPr>
          <w:rFonts w:ascii="Times New Roman" w:cs="Times New Roman" w:eastAsia="Times New Roman" w:hAnsi="Times New Roman"/>
          <w:sz w:val="17"/>
          <w:szCs w:val="17"/>
          <w:color w:val="auto"/>
        </w:rPr>
        <w:t>”), is to give Eligible Employees of Medline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and its Designated Companies an opportunity to purchase shares of Common Stock and to promote its best interests and enhance its long-term performance. The Company intends for each Offering to either (i) qualify as being under an “employee stock purchase plan” under Code Section 423 (each such Offering, a “</w:t>
      </w:r>
      <w:r>
        <w:rPr>
          <w:rFonts w:ascii="Times New Roman" w:cs="Times New Roman" w:eastAsia="Times New Roman" w:hAnsi="Times New Roman"/>
          <w:sz w:val="17"/>
          <w:szCs w:val="17"/>
          <w:b w:val="1"/>
          <w:bCs w:val="1"/>
          <w:u w:val="single" w:color="auto"/>
          <w:color w:val="auto"/>
        </w:rPr>
        <w:t>Section 423 Offering</w:t>
      </w:r>
      <w:r>
        <w:rPr>
          <w:rFonts w:ascii="Times New Roman" w:cs="Times New Roman" w:eastAsia="Times New Roman" w:hAnsi="Times New Roman"/>
          <w:sz w:val="17"/>
          <w:szCs w:val="17"/>
          <w:color w:val="auto"/>
        </w:rPr>
        <w:t>”) or (ii) not comply with the requirements of Code Section 423 (each such Offering, a “</w:t>
      </w:r>
      <w:r>
        <w:rPr>
          <w:rFonts w:ascii="Times New Roman" w:cs="Times New Roman" w:eastAsia="Times New Roman" w:hAnsi="Times New Roman"/>
          <w:sz w:val="17"/>
          <w:szCs w:val="17"/>
          <w:b w:val="1"/>
          <w:bCs w:val="1"/>
          <w:u w:val="single" w:color="auto"/>
          <w:color w:val="auto"/>
        </w:rPr>
        <w:t>Non-Section 423 Offering</w:t>
      </w:r>
      <w:r>
        <w:rPr>
          <w:rFonts w:ascii="Times New Roman" w:cs="Times New Roman" w:eastAsia="Times New Roman" w:hAnsi="Times New Roman"/>
          <w:sz w:val="17"/>
          <w:szCs w:val="17"/>
          <w:color w:val="auto"/>
        </w:rPr>
        <w:t>”). The Plan shall be construed so as to comply with the requirements of Code Section 423 with respect to Section 423 Offerings. Any provisions required to be included in the Plan under Code Section 423 are hereby included as fully as though set forth in the Plan. Any Non-Section 423 Offerings may, but are not required to, be made pursuant to any rules, procedures, or sub-plans (collectively, “</w:t>
      </w:r>
      <w:r>
        <w:rPr>
          <w:rFonts w:ascii="Times New Roman" w:cs="Times New Roman" w:eastAsia="Times New Roman" w:hAnsi="Times New Roman"/>
          <w:sz w:val="17"/>
          <w:szCs w:val="17"/>
          <w:b w:val="1"/>
          <w:bCs w:val="1"/>
          <w:u w:val="single" w:color="auto"/>
          <w:color w:val="auto"/>
        </w:rPr>
        <w:t>Sub-Plans</w:t>
      </w:r>
      <w:r>
        <w:rPr>
          <w:rFonts w:ascii="Times New Roman" w:cs="Times New Roman" w:eastAsia="Times New Roman" w:hAnsi="Times New Roman"/>
          <w:sz w:val="17"/>
          <w:szCs w:val="17"/>
          <w:color w:val="auto"/>
        </w:rPr>
        <w:t>”) adopted by the Committee for such purpose.</w:t>
      </w:r>
    </w:p>
    <w:p>
      <w:pPr>
        <w:spacing w:after="0" w:line="170" w:lineRule="exact"/>
        <w:rPr>
          <w:rFonts w:ascii="Times New Roman" w:cs="Times New Roman" w:eastAsia="Times New Roman" w:hAnsi="Times New Roman"/>
          <w:sz w:val="17"/>
          <w:szCs w:val="17"/>
          <w:color w:val="auto"/>
        </w:rPr>
      </w:pPr>
    </w:p>
    <w:p>
      <w:pPr>
        <w:ind w:firstLine="423"/>
        <w:spacing w:after="0" w:line="294" w:lineRule="auto"/>
        <w:tabs>
          <w:tab w:leader="none" w:pos="684"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date of the Plan shall be December 16, 2025 (“</w:t>
      </w:r>
      <w:r>
        <w:rPr>
          <w:rFonts w:ascii="Times New Roman" w:cs="Times New Roman" w:eastAsia="Times New Roman" w:hAnsi="Times New Roman"/>
          <w:sz w:val="17"/>
          <w:szCs w:val="17"/>
          <w:b w:val="1"/>
          <w:bCs w:val="1"/>
          <w:u w:val="single" w:color="auto"/>
          <w:color w:val="auto"/>
        </w:rPr>
        <w:t>Effective Date</w:t>
      </w:r>
      <w:r>
        <w:rPr>
          <w:rFonts w:ascii="Times New Roman" w:cs="Times New Roman" w:eastAsia="Times New Roman" w:hAnsi="Times New Roman"/>
          <w:sz w:val="17"/>
          <w:szCs w:val="17"/>
          <w:color w:val="auto"/>
        </w:rPr>
        <w:t xml:space="preserve">”). The term of the Plan shall continue until terminated by the Board pursuant to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or the date on which all of the shares of Common Stock available for issuance under the Plan have been issued.</w:t>
      </w:r>
    </w:p>
    <w:p>
      <w:pPr>
        <w:spacing w:after="0" w:line="285"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Certain Definitions</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ind w:firstLine="422"/>
        <w:spacing w:after="0" w:line="291" w:lineRule="auto"/>
        <w:rPr>
          <w:sz w:val="20"/>
          <w:szCs w:val="20"/>
          <w:color w:val="auto"/>
        </w:rPr>
      </w:pPr>
      <w:r>
        <w:rPr>
          <w:rFonts w:ascii="Times New Roman" w:cs="Times New Roman" w:eastAsia="Times New Roman" w:hAnsi="Times New Roman"/>
          <w:sz w:val="17"/>
          <w:szCs w:val="17"/>
          <w:color w:val="auto"/>
        </w:rPr>
        <w:t>Any term not expressly defined in the Plan but defined for purposes of Code Section 423 will have the same definition herein. In addition to terms defined elsewhere in the Plan, the following terms shall have the meanings given below unless the Committee determines otherwise:</w:t>
      </w:r>
    </w:p>
    <w:p>
      <w:pPr>
        <w:spacing w:after="0" w:line="42" w:lineRule="exact"/>
        <w:rPr>
          <w:sz w:val="20"/>
          <w:szCs w:val="20"/>
          <w:color w:val="auto"/>
        </w:rPr>
      </w:pPr>
    </w:p>
    <w:p>
      <w:pPr>
        <w:ind w:firstLine="423"/>
        <w:spacing w:after="0" w:line="294" w:lineRule="auto"/>
        <w:tabs>
          <w:tab w:leader="none" w:pos="65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Affiliate</w:t>
      </w:r>
      <w:r>
        <w:rPr>
          <w:rFonts w:ascii="Times New Roman" w:cs="Times New Roman" w:eastAsia="Times New Roman" w:hAnsi="Times New Roman"/>
          <w:sz w:val="17"/>
          <w:szCs w:val="17"/>
          <w:color w:val="auto"/>
        </w:rPr>
        <w:t>” means any entity, other than a Subsidiary, that directly or through one or more intermediaries is controlled by, or is under common control with, the Company, as determined by the Committee.</w:t>
      </w:r>
    </w:p>
    <w:p>
      <w:pPr>
        <w:spacing w:after="0" w:line="142" w:lineRule="exact"/>
        <w:rPr>
          <w:rFonts w:ascii="Times New Roman" w:cs="Times New Roman" w:eastAsia="Times New Roman" w:hAnsi="Times New Roman"/>
          <w:sz w:val="17"/>
          <w:szCs w:val="17"/>
          <w:color w:val="auto"/>
        </w:rPr>
      </w:pPr>
    </w:p>
    <w:p>
      <w:pPr>
        <w:jc w:val="both"/>
        <w:ind w:firstLine="423"/>
        <w:spacing w:after="0" w:line="262" w:lineRule="auto"/>
        <w:tabs>
          <w:tab w:leader="none" w:pos="70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Applicable Law</w:t>
      </w:r>
      <w:r>
        <w:rPr>
          <w:rFonts w:ascii="Times New Roman" w:cs="Times New Roman" w:eastAsia="Times New Roman" w:hAnsi="Times New Roman"/>
          <w:sz w:val="17"/>
          <w:szCs w:val="17"/>
          <w:color w:val="auto"/>
        </w:rPr>
        <w:t>” means any applicable laws, rules and regulations (or similar guidance), including but not limited to the General Corporation Law of the State of Delaware, the Securities Act, the Exchange Act, the Code and the listing or other rules of any applicable stock exchange, and the applicable laws of any foreign country or jurisdiction where Purchase Rights are, or will be, granted. References to any applicable laws, rules and regulations, including references to any sections or other provisions of applicable laws, rules and regulations, also refer to any successor or amended provisions thereto unless the Committee determines otherwise. Further, references to any section of a law shall be deemed to include any regulations or other interpretive guidance under such section, unless the Committee determines otherwise.</w:t>
      </w:r>
    </w:p>
    <w:p>
      <w:pPr>
        <w:spacing w:after="0" w:line="170"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18" w:lineRule="exact"/>
        <w:rPr>
          <w:rFonts w:ascii="Times New Roman" w:cs="Times New Roman" w:eastAsia="Times New Roman" w:hAnsi="Times New Roman"/>
          <w:sz w:val="17"/>
          <w:szCs w:val="17"/>
          <w:color w:val="auto"/>
        </w:rPr>
      </w:pPr>
    </w:p>
    <w:p>
      <w:pPr>
        <w:ind w:firstLine="423"/>
        <w:spacing w:after="0" w:line="294" w:lineRule="auto"/>
        <w:tabs>
          <w:tab w:leader="none" w:pos="66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Change in Control</w:t>
      </w:r>
      <w:r>
        <w:rPr>
          <w:rFonts w:ascii="Times New Roman" w:cs="Times New Roman" w:eastAsia="Times New Roman" w:hAnsi="Times New Roman"/>
          <w:sz w:val="17"/>
          <w:szCs w:val="17"/>
          <w:color w:val="auto"/>
        </w:rPr>
        <w:t>” shall have the meaning given such term in the Medline Inc. 2025 Omnibus Incentive Plan or any successor plan thereto, in each case, as amended and/or restated from time to time (the “</w:t>
      </w:r>
      <w:r>
        <w:rPr>
          <w:rFonts w:ascii="Times New Roman" w:cs="Times New Roman" w:eastAsia="Times New Roman" w:hAnsi="Times New Roman"/>
          <w:sz w:val="17"/>
          <w:szCs w:val="17"/>
          <w:b w:val="1"/>
          <w:bCs w:val="1"/>
          <w:u w:val="single" w:color="auto"/>
          <w:color w:val="auto"/>
        </w:rPr>
        <w:t>Omnibus Incentive Plan</w:t>
      </w:r>
      <w:r>
        <w:rPr>
          <w:rFonts w:ascii="Times New Roman" w:cs="Times New Roman" w:eastAsia="Times New Roman" w:hAnsi="Times New Roman"/>
          <w:sz w:val="17"/>
          <w:szCs w:val="17"/>
          <w:color w:val="auto"/>
        </w:rPr>
        <w:t>”).</w:t>
      </w:r>
    </w:p>
    <w:p>
      <w:pPr>
        <w:sectPr>
          <w:pgSz w:w="11900" w:h="16838" w:orient="portrait"/>
          <w:cols w:equalWidth="0" w:num="1">
            <w:col w:w="10560"/>
          </w:cols>
          <w:pgMar w:left="660" w:top="119" w:right="679" w:bottom="1440" w:gutter="0" w:footer="0" w:header="0"/>
        </w:sectPr>
      </w:pPr>
    </w:p>
    <w:bookmarkStart w:id="37" w:name="page38"/>
    <w:bookmarkEnd w:id="37"/>
    <w:p>
      <w:pPr>
        <w:jc w:val="both"/>
        <w:ind w:firstLine="423"/>
        <w:spacing w:after="0" w:line="274" w:lineRule="auto"/>
        <w:tabs>
          <w:tab w:leader="none" w:pos="65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59" w:lineRule="exact"/>
        <w:rPr>
          <w:rFonts w:ascii="Times New Roman" w:cs="Times New Roman" w:eastAsia="Times New Roman" w:hAnsi="Times New Roman"/>
          <w:sz w:val="17"/>
          <w:szCs w:val="17"/>
          <w:color w:val="auto"/>
        </w:rPr>
      </w:pPr>
    </w:p>
    <w:p>
      <w:pPr>
        <w:jc w:val="both"/>
        <w:ind w:firstLine="423"/>
        <w:spacing w:after="0" w:line="274" w:lineRule="auto"/>
        <w:tabs>
          <w:tab w:leader="none" w:pos="66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Committee</w:t>
      </w:r>
      <w:r>
        <w:rPr>
          <w:rFonts w:ascii="Times New Roman" w:cs="Times New Roman" w:eastAsia="Times New Roman" w:hAnsi="Times New Roman"/>
          <w:sz w:val="17"/>
          <w:szCs w:val="17"/>
          <w:color w:val="auto"/>
        </w:rPr>
        <w:t xml:space="preserve">” means the Compensation Committee of the Board, which has authority to administer the Plan pursuant to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All references to the Committee in the Plan shall include any administrator to which the Committee has delegated any part of its responsibilities and powers pursuant to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w:t>
      </w:r>
    </w:p>
    <w:p>
      <w:pPr>
        <w:spacing w:after="0" w:line="159"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Common Stock</w:t>
      </w:r>
      <w:r>
        <w:rPr>
          <w:rFonts w:ascii="Times New Roman" w:cs="Times New Roman" w:eastAsia="Times New Roman" w:hAnsi="Times New Roman"/>
          <w:sz w:val="17"/>
          <w:szCs w:val="17"/>
          <w:color w:val="auto"/>
        </w:rPr>
        <w:t>” means the shares of Class A common stock of the Company, par value $0.0001 per share, and any successor securities.</w:t>
      </w:r>
    </w:p>
    <w:p>
      <w:pPr>
        <w:spacing w:after="0" w:line="218"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means Medline Inc., a Delaware corporation, and any successor thereto.</w:t>
      </w:r>
    </w:p>
    <w:p>
      <w:pPr>
        <w:spacing w:after="0" w:line="218" w:lineRule="exact"/>
        <w:rPr>
          <w:rFonts w:ascii="Times New Roman" w:cs="Times New Roman" w:eastAsia="Times New Roman" w:hAnsi="Times New Roman"/>
          <w:sz w:val="17"/>
          <w:szCs w:val="17"/>
          <w:color w:val="auto"/>
        </w:rPr>
      </w:pPr>
    </w:p>
    <w:p>
      <w:pPr>
        <w:jc w:val="both"/>
        <w:ind w:firstLine="423"/>
        <w:spacing w:after="0" w:line="267" w:lineRule="auto"/>
        <w:tabs>
          <w:tab w:leader="none" w:pos="62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Compensation</w:t>
      </w:r>
      <w:r>
        <w:rPr>
          <w:rFonts w:ascii="Times New Roman" w:cs="Times New Roman" w:eastAsia="Times New Roman" w:hAnsi="Times New Roman"/>
          <w:sz w:val="17"/>
          <w:szCs w:val="17"/>
          <w:color w:val="auto"/>
        </w:rPr>
        <w:t>” means, unless otherwise determined by the Committee, a Participant’s cash earnings, including base salary, wages, bonuses, commissions and other forms of incentive compensation (but excluding gifts, prizes, awards, relocation payments, severance, tips, gratuities, or similar elements of compensation), determined as of the date of the Contribution or such other date or dates as may be determined by the Committee. The Committee may, in its discretion, on a uniform and nondiscriminatory basis, establish a different definition of Compensation for an Offering.</w:t>
      </w:r>
    </w:p>
    <w:p>
      <w:pPr>
        <w:spacing w:after="0" w:line="166" w:lineRule="exact"/>
        <w:rPr>
          <w:rFonts w:ascii="Times New Roman" w:cs="Times New Roman" w:eastAsia="Times New Roman" w:hAnsi="Times New Roman"/>
          <w:sz w:val="17"/>
          <w:szCs w:val="17"/>
          <w:color w:val="auto"/>
        </w:rPr>
      </w:pPr>
    </w:p>
    <w:p>
      <w:pPr>
        <w:jc w:val="both"/>
        <w:ind w:firstLine="423"/>
        <w:spacing w:after="0" w:line="271" w:lineRule="auto"/>
        <w:tabs>
          <w:tab w:leader="none" w:pos="65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Contributions</w:t>
      </w:r>
      <w:r>
        <w:rPr>
          <w:rFonts w:ascii="Times New Roman" w:cs="Times New Roman" w:eastAsia="Times New Roman" w:hAnsi="Times New Roman"/>
          <w:sz w:val="17"/>
          <w:szCs w:val="17"/>
          <w:color w:val="auto"/>
        </w:rPr>
        <w:t xml:space="preserve">” means the amount of Compensation contributed by a Participant through payroll deductions to fund the exercise of a Purchase Right;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“Contributions” may also include other payments that the Committee may permit a Participant to make to fund the exercise of a Purchase Right to the extent payroll deductions are not permitted by Applicable Law, as determined by the Company in its sole discretion.</w:t>
      </w:r>
    </w:p>
    <w:p>
      <w:pPr>
        <w:spacing w:after="0" w:line="373" w:lineRule="exact"/>
        <w:rPr>
          <w:rFonts w:ascii="Times New Roman" w:cs="Times New Roman" w:eastAsia="Times New Roman" w:hAnsi="Times New Roman"/>
          <w:sz w:val="17"/>
          <w:szCs w:val="17"/>
          <w:color w:val="auto"/>
        </w:rPr>
      </w:pPr>
    </w:p>
    <w:p>
      <w:pPr>
        <w:jc w:val="both"/>
        <w:ind w:firstLine="423"/>
        <w:spacing w:after="0" w:line="264" w:lineRule="auto"/>
        <w:tabs>
          <w:tab w:leader="none" w:pos="6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Designated Company</w:t>
      </w:r>
      <w:r>
        <w:rPr>
          <w:rFonts w:ascii="Times New Roman" w:cs="Times New Roman" w:eastAsia="Times New Roman" w:hAnsi="Times New Roman"/>
          <w:sz w:val="17"/>
          <w:szCs w:val="17"/>
          <w:color w:val="auto"/>
        </w:rPr>
        <w:t xml:space="preserve">” means any Subsidiary or Affiliate, whether now existing or existing in the future, that has been designated by the Committee from time to time in its sole discretion as eligible to participate in the Plan. The Committee may designate Subsidiaries or Affiliates as Designated Companies in a Non-Section 423 Offering. For purposes of a Section 423 Offering, only the Company and its Subsidiaries may be Designated Companies;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at any given time, a Subsidiary that is a Designated Company under a Section 423 Offering will not be a Designated Company under a Non-Section 423 Offering.</w:t>
      </w:r>
    </w:p>
    <w:p>
      <w:pPr>
        <w:spacing w:after="0" w:line="168" w:lineRule="exact"/>
        <w:rPr>
          <w:rFonts w:ascii="Times New Roman" w:cs="Times New Roman" w:eastAsia="Times New Roman" w:hAnsi="Times New Roman"/>
          <w:sz w:val="17"/>
          <w:szCs w:val="17"/>
          <w:color w:val="auto"/>
        </w:rPr>
      </w:pPr>
    </w:p>
    <w:p>
      <w:pPr>
        <w:ind w:firstLine="423"/>
        <w:spacing w:after="0" w:line="267" w:lineRule="auto"/>
        <w:tabs>
          <w:tab w:leader="none" w:pos="667"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Eligible Employee</w:t>
      </w:r>
      <w:r>
        <w:rPr>
          <w:rFonts w:ascii="Times New Roman" w:cs="Times New Roman" w:eastAsia="Times New Roman" w:hAnsi="Times New Roman"/>
          <w:sz w:val="17"/>
          <w:szCs w:val="17"/>
          <w:color w:val="auto"/>
        </w:rPr>
        <w:t>” means any Employee of the Company or a Designated Company except (unless otherwise determined by the Committee):</w:t>
      </w:r>
    </w:p>
    <w:p>
      <w:pPr>
        <w:spacing w:after="0" w:line="302" w:lineRule="exact"/>
        <w:rPr>
          <w:rFonts w:ascii="Times New Roman" w:cs="Times New Roman" w:eastAsia="Times New Roman" w:hAnsi="Times New Roman"/>
          <w:sz w:val="17"/>
          <w:szCs w:val="17"/>
          <w:color w:val="auto"/>
        </w:rPr>
      </w:pPr>
    </w:p>
    <w:p>
      <w:pPr>
        <w:ind w:left="1040" w:hanging="211"/>
        <w:spacing w:after="0"/>
        <w:tabs>
          <w:tab w:leader="none" w:pos="10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who has been employed for less than 90 days;</w:t>
      </w:r>
    </w:p>
    <w:p>
      <w:pPr>
        <w:spacing w:after="0" w:line="115" w:lineRule="exact"/>
        <w:rPr>
          <w:rFonts w:ascii="Times New Roman" w:cs="Times New Roman" w:eastAsia="Times New Roman" w:hAnsi="Times New Roman"/>
          <w:sz w:val="17"/>
          <w:szCs w:val="17"/>
          <w:color w:val="auto"/>
        </w:rPr>
      </w:pPr>
    </w:p>
    <w:p>
      <w:pPr>
        <w:ind w:left="1080" w:hanging="251"/>
        <w:spacing w:after="0"/>
        <w:tabs>
          <w:tab w:leader="none" w:pos="10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whose customary employment is for less than 20 hours per week;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560"/>
          </w:cols>
          <w:pgMar w:left="660" w:top="262" w:right="679" w:bottom="1440" w:gutter="0" w:footer="0" w:header="0"/>
        </w:sectPr>
      </w:pPr>
    </w:p>
    <w:bookmarkStart w:id="38" w:name="page39"/>
    <w:bookmarkEnd w:id="38"/>
    <w:p>
      <w:pPr>
        <w:ind w:left="8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(iii) any Employee whose customary employment is for not more than three months in any calendar year;</w:t>
      </w:r>
    </w:p>
    <w:p>
      <w:pPr>
        <w:spacing w:after="0" w:line="115" w:lineRule="exact"/>
        <w:rPr>
          <w:sz w:val="20"/>
          <w:szCs w:val="20"/>
          <w:color w:val="auto"/>
        </w:rPr>
      </w:pPr>
    </w:p>
    <w:p>
      <w:pPr>
        <w:jc w:val="both"/>
        <w:ind w:left="420"/>
        <w:spacing w:after="0" w:line="257"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Committee may determine prior to any Offering Period that Employees outside the United States who are participating in a separate Offering or in separate Offerings shall be “Eligible Employees” even if they do not meet the requirements of (ii) and (iii) above if and to the extent required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Committee, in its discretion, from time to time may, prior to the Offering Period for all Purchase Rights to be granted on the first day of such Offering Period in an Offering determine (for each Section 423 Offering, on a uniform and nondiscriminatory basis or as otherwise permitted by U.S. Treasury Regulation Section 1.4232) that the definition of Eligible Employee will or will not include an individual if such individual: (A) has not completed at least 90 days of service since such individual’s last hire date (or such lesser period of time as may be determined by the Committee in its discretion), (B) customarily works less than 20 hours per week (or such lesser period of time as may be determined by the Committee in its discretion), (C) customarily works less than three months per calendar year (or such lesser period of time as may be determined by the Committee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exclusion is applied with respect to each Section 423 Offering in an identical manner to all highly compensated employees of the Company or a Designated Company, as applicable, whose employees are participating in such Offering).</w:t>
      </w:r>
    </w:p>
    <w:p>
      <w:pPr>
        <w:spacing w:after="0" w:line="180" w:lineRule="exact"/>
        <w:rPr>
          <w:sz w:val="20"/>
          <w:szCs w:val="20"/>
          <w:color w:val="auto"/>
        </w:rPr>
      </w:pPr>
    </w:p>
    <w:p>
      <w:pPr>
        <w:jc w:val="both"/>
        <w:ind w:firstLine="422"/>
        <w:spacing w:after="0" w:line="266" w:lineRule="auto"/>
        <w:rPr>
          <w:sz w:val="20"/>
          <w:szCs w:val="20"/>
          <w:color w:val="auto"/>
        </w:rPr>
      </w:pPr>
      <w:r>
        <w:rPr>
          <w:rFonts w:ascii="Times New Roman" w:cs="Times New Roman" w:eastAsia="Times New Roman" w:hAnsi="Times New Roman"/>
          <w:sz w:val="17"/>
          <w:szCs w:val="17"/>
          <w:color w:val="auto"/>
        </w:rPr>
        <w:t xml:space="preserve">No Employee shall be granted a Purchase Right under the Plan if, immediately after such grant, the Employee would own or hold options to purchase stock of the Company or a Related Corporation possessing 5% or more of the total combined voting power or value of all classes of stock of such corporation, as determined in accordance with Code Section 423(b)(3). For these purposes, the attribution rules of Code Section 424(d) shall apply in determining the stock ownership of such Employee. For purposes of a Non-Section 423 Offering, the provisions of </w:t>
      </w:r>
      <w:r>
        <w:rPr>
          <w:rFonts w:ascii="Times New Roman" w:cs="Times New Roman" w:eastAsia="Times New Roman" w:hAnsi="Times New Roman"/>
          <w:sz w:val="17"/>
          <w:szCs w:val="17"/>
          <w:u w:val="single" w:color="auto"/>
          <w:color w:val="auto"/>
        </w:rPr>
        <w:t>Section 5(i)</w:t>
      </w:r>
      <w:r>
        <w:rPr>
          <w:rFonts w:ascii="Times New Roman" w:cs="Times New Roman" w:eastAsia="Times New Roman" w:hAnsi="Times New Roman"/>
          <w:sz w:val="17"/>
          <w:szCs w:val="17"/>
          <w:color w:val="auto"/>
        </w:rPr>
        <w:t xml:space="preserve"> shall apply.</w:t>
      </w:r>
    </w:p>
    <w:p>
      <w:pPr>
        <w:spacing w:after="0" w:line="167" w:lineRule="exact"/>
        <w:rPr>
          <w:sz w:val="20"/>
          <w:szCs w:val="20"/>
          <w:color w:val="auto"/>
        </w:rPr>
      </w:pPr>
    </w:p>
    <w:p>
      <w:pPr>
        <w:ind w:firstLine="423"/>
        <w:spacing w:after="0" w:line="294" w:lineRule="auto"/>
        <w:tabs>
          <w:tab w:leader="none" w:pos="72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Employee</w:t>
      </w:r>
      <w:r>
        <w:rPr>
          <w:rFonts w:ascii="Times New Roman" w:cs="Times New Roman" w:eastAsia="Times New Roman" w:hAnsi="Times New Roman"/>
          <w:sz w:val="17"/>
          <w:szCs w:val="17"/>
          <w:color w:val="auto"/>
        </w:rPr>
        <w:t>” means an employee of the Company or a Subsidiary or Affiliate. For the purposes herein, the existence of an employment relationship will be determined in accordance with U.S. Treasury Regulation Section 1.421-l(h).</w:t>
      </w:r>
    </w:p>
    <w:p>
      <w:pPr>
        <w:spacing w:after="0" w:line="142"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218" w:lineRule="exact"/>
        <w:rPr>
          <w:rFonts w:ascii="Times New Roman" w:cs="Times New Roman" w:eastAsia="Times New Roman" w:hAnsi="Times New Roman"/>
          <w:sz w:val="17"/>
          <w:szCs w:val="17"/>
          <w:color w:val="auto"/>
        </w:rPr>
      </w:pPr>
    </w:p>
    <w:p>
      <w:pPr>
        <w:jc w:val="both"/>
        <w:ind w:firstLine="423"/>
        <w:spacing w:after="0" w:line="262" w:lineRule="auto"/>
        <w:tabs>
          <w:tab w:leader="none" w:pos="66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Fair Market Value</w:t>
      </w:r>
      <w:r>
        <w:rPr>
          <w:rFonts w:ascii="Times New Roman" w:cs="Times New Roman" w:eastAsia="Times New Roman" w:hAnsi="Times New Roman"/>
          <w:sz w:val="17"/>
          <w:szCs w:val="17"/>
          <w:color w:val="auto"/>
        </w:rPr>
        <w:t>” means, unless the Committee determines otherwise, on a given date (the “</w:t>
      </w:r>
      <w:r>
        <w:rPr>
          <w:rFonts w:ascii="Times New Roman" w:cs="Times New Roman" w:eastAsia="Times New Roman" w:hAnsi="Times New Roman"/>
          <w:sz w:val="17"/>
          <w:szCs w:val="17"/>
          <w:b w:val="1"/>
          <w:bCs w:val="1"/>
          <w:u w:val="single" w:color="auto"/>
          <w:color w:val="auto"/>
        </w:rPr>
        <w:t>valuation date</w:t>
      </w:r>
      <w:r>
        <w:rPr>
          <w:rFonts w:ascii="Times New Roman" w:cs="Times New Roman" w:eastAsia="Times New Roman" w:hAnsi="Times New Roman"/>
          <w:sz w:val="17"/>
          <w:szCs w:val="17"/>
          <w:color w:val="auto"/>
        </w:rPr>
        <w:t>”) (i) if the Common Stock is listed on a national securities exchange, the closing sales price of the Common Stock reported on the primary exchange on which the Common Stock is listed and traded on such date, or, if there are no such sales on that date, then on the last preceding date on which such sales were reported; (ii) if the Common Stock is not listed on any national securities exchange but is quoted in an inter-dealer quotation system on a last-sale basis, the average between the closing bid price and ask price reported on such date, or, if there is no such sale on that date, then on the last preceding date on which a sale was reported; or (iii) if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560"/>
          </w:cols>
          <w:pgMar w:left="660" w:top="264" w:right="67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the Common Stock is not listed on a national securities exchange or quoted in an inter-dealer quotation system on a last sale basis, then Fair Market Value shall be determined by the Committee in good faith to be the fair market value of the Common Stock. Notwithstanding any provision of the Plan to the contrary, no determination made with respect to the Fair Market Value of the Common Stock subject to a Purchase Right shall be inconsistent with Code Section 423 in the case of a Section 423 Offering.</w:t>
      </w:r>
    </w:p>
    <w:p>
      <w:pPr>
        <w:spacing w:after="0" w:line="167" w:lineRule="exact"/>
        <w:rPr>
          <w:sz w:val="20"/>
          <w:szCs w:val="20"/>
          <w:color w:val="auto"/>
        </w:rPr>
      </w:pPr>
    </w:p>
    <w:p>
      <w:pPr>
        <w:ind w:left="660" w:hanging="237"/>
        <w:spacing w:after="0"/>
        <w:tabs>
          <w:tab w:leader="none" w:pos="6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Grant Date</w:t>
      </w:r>
      <w:r>
        <w:rPr>
          <w:rFonts w:ascii="Times New Roman" w:cs="Times New Roman" w:eastAsia="Times New Roman" w:hAnsi="Times New Roman"/>
          <w:sz w:val="17"/>
          <w:szCs w:val="17"/>
          <w:color w:val="auto"/>
        </w:rPr>
        <w:t>” means the date of grant of a Purchase Right. The Grant Date shall be the first day with respect to each Offering Period.</w:t>
      </w:r>
    </w:p>
    <w:p>
      <w:pPr>
        <w:spacing w:after="0" w:line="218"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Initial Offering Period</w:t>
      </w:r>
      <w:r>
        <w:rPr>
          <w:rFonts w:ascii="Times New Roman" w:cs="Times New Roman" w:eastAsia="Times New Roman" w:hAnsi="Times New Roman"/>
          <w:sz w:val="17"/>
          <w:szCs w:val="17"/>
          <w:color w:val="auto"/>
        </w:rPr>
        <w:t>” means the initial Offering Period that begins and ends on the dates determined by the Committee.</w:t>
      </w:r>
    </w:p>
    <w:p>
      <w:pPr>
        <w:spacing w:after="0" w:line="218" w:lineRule="exact"/>
        <w:rPr>
          <w:rFonts w:ascii="Times New Roman" w:cs="Times New Roman" w:eastAsia="Times New Roman" w:hAnsi="Times New Roman"/>
          <w:sz w:val="17"/>
          <w:szCs w:val="17"/>
          <w:color w:val="auto"/>
        </w:rPr>
      </w:pPr>
    </w:p>
    <w:p>
      <w:pPr>
        <w:jc w:val="both"/>
        <w:ind w:firstLine="423"/>
        <w:spacing w:after="0" w:line="262" w:lineRule="auto"/>
        <w:tabs>
          <w:tab w:leader="none" w:pos="65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Offering</w:t>
      </w:r>
      <w:r>
        <w:rPr>
          <w:rFonts w:ascii="Times New Roman" w:cs="Times New Roman" w:eastAsia="Times New Roman" w:hAnsi="Times New Roman"/>
          <w:sz w:val="17"/>
          <w:szCs w:val="17"/>
          <w:color w:val="auto"/>
        </w:rPr>
        <w:t xml:space="preserve">” means a grant of Purchase Rights to purchase shares of Common Stock under the Plan. Each Offering will be a Section 423 Offering or a Non-Section 423 Offering. Unless otherwise specified by the Committee, each Offering shall be deemed a separate Offering, even if the dates and other terms of the applicable Offering Periods of each such Offering are identical, and the provisions of the Plan will separately apply to each such Offering. With respect to Section 423 Offerings, the terms of each Offering need not be identical;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terms of the Plan and an Offering together satisfy Code Section 423 and the U.S. Treasury Regulations thereunder;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Non-Section 423 Offering is not required to satisfy such regulations.</w:t>
      </w:r>
    </w:p>
    <w:p>
      <w:pPr>
        <w:spacing w:after="0" w:line="170" w:lineRule="exact"/>
        <w:rPr>
          <w:rFonts w:ascii="Times New Roman" w:cs="Times New Roman" w:eastAsia="Times New Roman" w:hAnsi="Times New Roman"/>
          <w:sz w:val="17"/>
          <w:szCs w:val="17"/>
          <w:color w:val="auto"/>
        </w:rPr>
      </w:pPr>
    </w:p>
    <w:p>
      <w:pPr>
        <w:jc w:val="both"/>
        <w:ind w:firstLine="423"/>
        <w:spacing w:after="0" w:line="267" w:lineRule="auto"/>
        <w:tabs>
          <w:tab w:leader="none" w:pos="66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Offering Period</w:t>
      </w:r>
      <w:r>
        <w:rPr>
          <w:rFonts w:ascii="Times New Roman" w:cs="Times New Roman" w:eastAsia="Times New Roman" w:hAnsi="Times New Roman"/>
          <w:sz w:val="17"/>
          <w:szCs w:val="17"/>
          <w:color w:val="auto"/>
        </w:rPr>
        <w:t xml:space="preserve">” means any period, including the Initial Offering Period, with respect to which a Purchase Right may be granted, which, unless determined otherwise by the Committee, will be a period of six (6) months;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an Offering Period be greater than 27 months. Following commencement of the Initial Offering Period, a new Offering Period shall begin. Notwithstanding the foregoing, the Committee shall have the power to change the frequency and duration of the Offering Periods with respect to any Offering as it deems appropriate from time to time.</w:t>
      </w:r>
    </w:p>
    <w:p>
      <w:pPr>
        <w:spacing w:after="0" w:line="166" w:lineRule="exact"/>
        <w:rPr>
          <w:rFonts w:ascii="Times New Roman" w:cs="Times New Roman" w:eastAsia="Times New Roman" w:hAnsi="Times New Roman"/>
          <w:sz w:val="17"/>
          <w:szCs w:val="17"/>
          <w:color w:val="auto"/>
        </w:rPr>
      </w:pPr>
    </w:p>
    <w:p>
      <w:pPr>
        <w:ind w:firstLine="423"/>
        <w:spacing w:after="0" w:line="294" w:lineRule="auto"/>
        <w:tabs>
          <w:tab w:leader="none" w:pos="62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Parent</w:t>
      </w:r>
      <w:r>
        <w:rPr>
          <w:rFonts w:ascii="Times New Roman" w:cs="Times New Roman" w:eastAsia="Times New Roman" w:hAnsi="Times New Roman"/>
          <w:sz w:val="17"/>
          <w:szCs w:val="17"/>
          <w:color w:val="auto"/>
        </w:rPr>
        <w:t>” means any present or future corporation that is or which would be a “parent corporation” of the Company as that term is defined in Code Section 424.</w:t>
      </w:r>
    </w:p>
    <w:p>
      <w:pPr>
        <w:spacing w:after="0" w:line="142"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Participant</w:t>
      </w:r>
      <w:r>
        <w:rPr>
          <w:rFonts w:ascii="Times New Roman" w:cs="Times New Roman" w:eastAsia="Times New Roman" w:hAnsi="Times New Roman"/>
          <w:sz w:val="17"/>
          <w:szCs w:val="17"/>
          <w:color w:val="auto"/>
        </w:rPr>
        <w:t>” means an Eligible Employee who is a participant in the Plan.</w:t>
      </w:r>
    </w:p>
    <w:p>
      <w:pPr>
        <w:spacing w:after="0" w:line="218" w:lineRule="exact"/>
        <w:rPr>
          <w:rFonts w:ascii="Times New Roman" w:cs="Times New Roman" w:eastAsia="Times New Roman" w:hAnsi="Times New Roman"/>
          <w:sz w:val="17"/>
          <w:szCs w:val="17"/>
          <w:color w:val="auto"/>
        </w:rPr>
      </w:pPr>
    </w:p>
    <w:p>
      <w:pPr>
        <w:ind w:firstLine="423"/>
        <w:spacing w:after="0" w:line="294" w:lineRule="auto"/>
        <w:tabs>
          <w:tab w:leader="none" w:pos="66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Purchase Date</w:t>
      </w:r>
      <w:r>
        <w:rPr>
          <w:rFonts w:ascii="Times New Roman" w:cs="Times New Roman" w:eastAsia="Times New Roman" w:hAnsi="Times New Roman"/>
          <w:sz w:val="17"/>
          <w:szCs w:val="17"/>
          <w:color w:val="auto"/>
        </w:rPr>
        <w:t>” means the date of exercise of a Purchase Right. The Purchase Date shall be the Purchase Period End Date with respect to each Purchase Period.</w:t>
      </w:r>
    </w:p>
    <w:p>
      <w:pPr>
        <w:spacing w:after="0" w:line="142" w:lineRule="exact"/>
        <w:rPr>
          <w:rFonts w:ascii="Times New Roman" w:cs="Times New Roman" w:eastAsia="Times New Roman" w:hAnsi="Times New Roman"/>
          <w:sz w:val="17"/>
          <w:szCs w:val="17"/>
          <w:color w:val="auto"/>
        </w:rPr>
      </w:pPr>
    </w:p>
    <w:p>
      <w:pPr>
        <w:jc w:val="both"/>
        <w:ind w:firstLine="423"/>
        <w:spacing w:after="0" w:line="261" w:lineRule="auto"/>
        <w:tabs>
          <w:tab w:leader="none" w:pos="73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Purchase Period</w:t>
      </w:r>
      <w:r>
        <w:rPr>
          <w:rFonts w:ascii="Times New Roman" w:cs="Times New Roman" w:eastAsia="Times New Roman" w:hAnsi="Times New Roman"/>
          <w:sz w:val="17"/>
          <w:szCs w:val="17"/>
          <w:color w:val="auto"/>
        </w:rPr>
        <w:t xml:space="preserve">” means, unless otherwise determined by the Committee, each six-month period during which an Offering is made to Eligible Employees pursuant to the Plan. There shall be one Purchase Period in each Offering Period, with such Purchase Periods beginning and ending on the dates determined by the Committee or its designees in its or their discretion. Notwithstanding the foregoing, the first Purchase Period in the Initial Offering Period shall begin and end on the dates determined by the Committee or its designees in its or their discretion, as applicable. Further, the Committee shall have the power to change the duration of Purchase Periods (including the Purchase Period Start Date and the Purchase Period End Date for any Purchase Period) with respect to any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change is announced a reasonable period of time prior to the effective date of such change;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no event shall a Purchase Period be greater than 27 months.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560"/>
          </w:cols>
          <w:pgMar w:left="660" w:top="264" w:right="679" w:bottom="1440" w:gutter="0" w:footer="0" w:header="0"/>
        </w:sectPr>
      </w:pPr>
    </w:p>
    <w:bookmarkStart w:id="40" w:name="page41"/>
    <w:bookmarkEnd w:id="40"/>
    <w:p>
      <w:pPr>
        <w:ind w:firstLine="423"/>
        <w:spacing w:after="0" w:line="294" w:lineRule="auto"/>
        <w:tabs>
          <w:tab w:leader="none" w:pos="66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w:t>
      </w:r>
      <w:r>
        <w:rPr>
          <w:rFonts w:ascii="Times New Roman" w:cs="Times New Roman" w:eastAsia="Times New Roman" w:hAnsi="Times New Roman"/>
          <w:sz w:val="17"/>
          <w:szCs w:val="17"/>
          <w:b w:val="1"/>
          <w:bCs w:val="1"/>
          <w:u w:val="single" w:color="auto"/>
          <w:color w:val="auto"/>
        </w:rPr>
        <w:t>Purchase Period End Date</w:t>
      </w:r>
      <w:r>
        <w:rPr>
          <w:rFonts w:ascii="Times New Roman" w:cs="Times New Roman" w:eastAsia="Times New Roman" w:hAnsi="Times New Roman"/>
          <w:sz w:val="17"/>
          <w:szCs w:val="17"/>
          <w:color w:val="auto"/>
        </w:rPr>
        <w:t>” means the last day of each Purchase Period. Unless otherwise determined by the Committee, there shall be one Purchase Period End Date in each Offering Period.</w:t>
      </w:r>
    </w:p>
    <w:p>
      <w:pPr>
        <w:spacing w:after="0" w:line="142" w:lineRule="exact"/>
        <w:rPr>
          <w:rFonts w:ascii="Times New Roman" w:cs="Times New Roman" w:eastAsia="Times New Roman" w:hAnsi="Times New Roman"/>
          <w:sz w:val="17"/>
          <w:szCs w:val="17"/>
          <w:color w:val="auto"/>
        </w:rPr>
      </w:pPr>
    </w:p>
    <w:p>
      <w:pPr>
        <w:ind w:firstLine="423"/>
        <w:spacing w:after="0" w:line="294" w:lineRule="auto"/>
        <w:tabs>
          <w:tab w:leader="none" w:pos="66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Purchase Period Start Date</w:t>
      </w:r>
      <w:r>
        <w:rPr>
          <w:rFonts w:ascii="Times New Roman" w:cs="Times New Roman" w:eastAsia="Times New Roman" w:hAnsi="Times New Roman"/>
          <w:sz w:val="17"/>
          <w:szCs w:val="17"/>
          <w:color w:val="auto"/>
        </w:rPr>
        <w:t>” means the first day of each Purchase Period. Unless otherwise determined by the Committee, there shall be one Purchase Period Start Date in each Offering Period.</w:t>
      </w:r>
    </w:p>
    <w:p>
      <w:pPr>
        <w:spacing w:after="0" w:line="142"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Purchase Price</w:t>
      </w:r>
      <w:r>
        <w:rPr>
          <w:rFonts w:ascii="Times New Roman" w:cs="Times New Roman" w:eastAsia="Times New Roman" w:hAnsi="Times New Roman"/>
          <w:sz w:val="17"/>
          <w:szCs w:val="17"/>
          <w:color w:val="auto"/>
        </w:rPr>
        <w:t xml:space="preserve">” means the price per share of Common Stock subject to a Purchase Right, as determined in accordance with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ind w:firstLine="423"/>
        <w:spacing w:after="0" w:line="294" w:lineRule="auto"/>
        <w:tabs>
          <w:tab w:leader="none" w:pos="734"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Purchase Right</w:t>
      </w:r>
      <w:r>
        <w:rPr>
          <w:rFonts w:ascii="Times New Roman" w:cs="Times New Roman" w:eastAsia="Times New Roman" w:hAnsi="Times New Roman"/>
          <w:sz w:val="17"/>
          <w:szCs w:val="17"/>
          <w:color w:val="auto"/>
        </w:rPr>
        <w:t>” means an option granted hereunder which entitles a Participant to purchase shares of Common Stock in accordance with the terms of the Plan.</w:t>
      </w:r>
    </w:p>
    <w:p>
      <w:pPr>
        <w:spacing w:after="0" w:line="142" w:lineRule="exact"/>
        <w:rPr>
          <w:rFonts w:ascii="Times New Roman" w:cs="Times New Roman" w:eastAsia="Times New Roman" w:hAnsi="Times New Roman"/>
          <w:sz w:val="17"/>
          <w:szCs w:val="17"/>
          <w:color w:val="auto"/>
        </w:rPr>
      </w:pPr>
    </w:p>
    <w:p>
      <w:pPr>
        <w:ind w:left="760" w:hanging="337"/>
        <w:spacing w:after="0"/>
        <w:tabs>
          <w:tab w:leader="none" w:pos="7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Related Corporation</w:t>
      </w:r>
      <w:r>
        <w:rPr>
          <w:rFonts w:ascii="Times New Roman" w:cs="Times New Roman" w:eastAsia="Times New Roman" w:hAnsi="Times New Roman"/>
          <w:sz w:val="17"/>
          <w:szCs w:val="17"/>
          <w:color w:val="auto"/>
        </w:rPr>
        <w:t>” means a Parent or Subsidiary.</w:t>
      </w:r>
    </w:p>
    <w:p>
      <w:pPr>
        <w:spacing w:after="0" w:line="218" w:lineRule="exact"/>
        <w:rPr>
          <w:rFonts w:ascii="Times New Roman" w:cs="Times New Roman" w:eastAsia="Times New Roman" w:hAnsi="Times New Roman"/>
          <w:sz w:val="17"/>
          <w:szCs w:val="17"/>
          <w:color w:val="auto"/>
        </w:rPr>
      </w:pPr>
    </w:p>
    <w:p>
      <w:pPr>
        <w:ind w:left="740" w:hanging="317"/>
        <w:spacing w:after="0"/>
        <w:tabs>
          <w:tab w:leader="none" w:pos="74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w:t>
      </w:r>
      <w:r>
        <w:rPr>
          <w:rFonts w:ascii="Times New Roman" w:cs="Times New Roman" w:eastAsia="Times New Roman" w:hAnsi="Times New Roman"/>
          <w:sz w:val="17"/>
          <w:szCs w:val="17"/>
          <w:u w:val="single" w:color="auto"/>
          <w:color w:val="auto"/>
        </w:rPr>
        <w:t>t</w:t>
      </w:r>
      <w:r>
        <w:rPr>
          <w:rFonts w:ascii="Times New Roman" w:cs="Times New Roman" w:eastAsia="Times New Roman" w:hAnsi="Times New Roman"/>
          <w:sz w:val="17"/>
          <w:szCs w:val="17"/>
          <w:color w:val="auto"/>
        </w:rPr>
        <w:t>” means the U.S. Securities Act of 1933, as amended.</w:t>
      </w:r>
    </w:p>
    <w:p>
      <w:pPr>
        <w:spacing w:after="0" w:line="218" w:lineRule="exact"/>
        <w:rPr>
          <w:rFonts w:ascii="Times New Roman" w:cs="Times New Roman" w:eastAsia="Times New Roman" w:hAnsi="Times New Roman"/>
          <w:sz w:val="17"/>
          <w:szCs w:val="17"/>
          <w:color w:val="auto"/>
        </w:rPr>
      </w:pPr>
    </w:p>
    <w:p>
      <w:pPr>
        <w:ind w:firstLine="423"/>
        <w:spacing w:after="0" w:line="294" w:lineRule="auto"/>
        <w:tabs>
          <w:tab w:leader="none" w:pos="75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means any present or future corporation that is or would be a “subsidiary corporation” of the Company as that term is defined in Code Section 424.</w:t>
      </w:r>
    </w:p>
    <w:p>
      <w:pPr>
        <w:spacing w:after="0" w:line="142" w:lineRule="exact"/>
        <w:rPr>
          <w:rFonts w:ascii="Times New Roman" w:cs="Times New Roman" w:eastAsia="Times New Roman" w:hAnsi="Times New Roman"/>
          <w:sz w:val="17"/>
          <w:szCs w:val="17"/>
          <w:color w:val="auto"/>
        </w:rPr>
      </w:pPr>
    </w:p>
    <w:p>
      <w:pPr>
        <w:ind w:firstLine="423"/>
        <w:spacing w:after="0" w:line="294" w:lineRule="auto"/>
        <w:tabs>
          <w:tab w:leader="none" w:pos="734"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Tax-Related Items</w:t>
      </w:r>
      <w:r>
        <w:rPr>
          <w:rFonts w:ascii="Times New Roman" w:cs="Times New Roman" w:eastAsia="Times New Roman" w:hAnsi="Times New Roman"/>
          <w:sz w:val="17"/>
          <w:szCs w:val="17"/>
          <w:color w:val="auto"/>
        </w:rPr>
        <w:t>” means any income tax, social insurance, payroll tax, fringe benefit tax, payment on account or other tax-related items arising in relation to a Participant’s participation in the Plan.</w:t>
      </w:r>
    </w:p>
    <w:p>
      <w:pPr>
        <w:spacing w:after="0" w:line="285"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66" w:lineRule="auto"/>
        <w:tabs>
          <w:tab w:leader="none" w:pos="66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shall be administered by the Committee, unless the Board elects to assume administration of the Plan in whole or in part. References to the “Committee” include the Board if it is acting in an administrative capacity with respect to the Plan. Committee members shall be intended to qualify as “independent directors” (or terms of similar meaning) if and to the extent required under Applicable Law. However, the fact that a Committee member shall fail to qualify as an independent director shall not invalidate any Purchase Right or other action taken by the Committee under the Plan.</w:t>
      </w:r>
    </w:p>
    <w:p>
      <w:pPr>
        <w:spacing w:after="0" w:line="169" w:lineRule="exact"/>
        <w:rPr>
          <w:rFonts w:ascii="Times New Roman" w:cs="Times New Roman" w:eastAsia="Times New Roman" w:hAnsi="Times New Roman"/>
          <w:sz w:val="17"/>
          <w:szCs w:val="17"/>
          <w:color w:val="auto"/>
        </w:rPr>
      </w:pPr>
    </w:p>
    <w:p>
      <w:pPr>
        <w:jc w:val="both"/>
        <w:ind w:firstLine="423"/>
        <w:spacing w:after="0" w:line="260" w:lineRule="auto"/>
        <w:tabs>
          <w:tab w:leader="none" w:pos="66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action by meeting in accordance with Applicable Law, any action of the Committee may be taken by a written instrument signed by all of the members of the Committee and any action so taken by written consent shall be as fully effective as if it had been taken by a majority of the members at a meeting duly held and called. Subject to the provisions of the Plan and Applicable Law, the Committee shall have full and final authority, in its discretion, to take any action with respect to the Plan, including, without limitation, the following: (i) to establish, amend and rescind rules and regulations for the administration of the Plan; (ii) to prescribe the form(s) of any agreements or other instruments used in connection with the Plan; (iii) to determine the terms and provisions of the Purchase Rights; (iv) to determine eligibility and adjudicate all disputed claims filed under the Plan, including whether Eligible Employees shall</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560"/>
          </w:cols>
          <w:pgMar w:left="660" w:top="262" w:right="67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 xml:space="preserve">participate in a Section 423 Offering or a Non-Section 423 Offering and which Subsidiaries and Affiliates shall be Designated Companies participating in either a Section 423 Offering or a Non-Section 423 Offering; (v) reconcile any inconsistency in, correct any defect in, and/or supply any omission in the Plan and any instrument or agreement relating to, or Purchase Rights granted under, the Plan; and (vi) to construe and interpret the Plan, the Purchase Rights, the rules and regulations, and the agreements or other written instruments, and to make all other determinations necessary or advisable for the administration of the Plan, including, without limitation, the adoption of such Sub-Plans as are necessary or appropriate to permit the participation in the Plan by Eligible Employees who are foreign nationals or employed outside the United States, as further set forth in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xml:space="preserve"> below. Every finding, decision and determination made by the Committee will, to the full extent permitted by Applicable Law, be final and binding upon all parties. Except to the extent prohibited by the Plan or Applicable Law, and subject to such terms and conditions as may be established by the Committee, the Committee may appoint one or more agents to assist in the administration of the Plan and may delegate any part of its responsibilities and powers to any such person or persons appointed by it. No member of the Board or Committee, as applicable, shall be liable while acting as administrator for any action or determination made in good faith with respect to the Plan or any Purchase Right granted thereunder.</w:t>
      </w:r>
    </w:p>
    <w:p>
      <w:pPr>
        <w:spacing w:after="0" w:line="175" w:lineRule="exact"/>
        <w:rPr>
          <w:sz w:val="20"/>
          <w:szCs w:val="20"/>
          <w:color w:val="auto"/>
        </w:rPr>
      </w:pPr>
    </w:p>
    <w:p>
      <w:pPr>
        <w:jc w:val="both"/>
        <w:ind w:firstLine="423"/>
        <w:spacing w:after="0" w:line="256" w:lineRule="auto"/>
        <w:tabs>
          <w:tab w:leader="none" w:pos="704"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to the contrary in this Plan, the Committee may adopt such Sub-Plans relating to the operation and administration of the Plan to accommodate the specific requirements of local laws and procedures for jurisdictions outside of the United States, the terms of which Sub-Plans may take precedence over other provisions of this Plan, with the exception of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but unless otherwise superseded by the terms of such Sub-Plan, the provisions of this Plan shall govern the operation of such Sub-Plan. To the extent inconsistent with the requirements of Code Section 423, any such Sub-Plan shall be considered part of a NonSection 423 Offering, and Purchase Rights granted thereunder shall not be required by the terms of the Plan to comply with Code Section 423. Without limiting the generality of the foregoing, the Committee is authorized to adopt Sub-Plans for particular non-U.S. jurisdictions that modify the terms of the Plan to meet applicable local requirements regarding, without limitation, (i) eligibility to participate, (ii) the definition of Compensation, (iii) the dates and duration of Offering Periods or Purchase Periods or other periods during which Participants may make Contributions towards the purchase of shares of Common Stock, (iv) the method of determining the Purchase Price and the discount from Fair Market Value at which shares of Common Stock may be purchased, (v) any minimum or maximum amount of Contributions a Participant may make during an Offering Period or other specified period under the applicable Sub-Plan, (vi) the treatment of Purchase Rights upon a Change in Control or a change in capitalization of the Company, (vii) the handling of payroll deductions, (viii) establishment of bank, building society or trust accounts to hold Contributions, (ix) payment of interest, (x) conversion of local currency, (xi) obligations to pay payroll tax,</w:t>
      </w:r>
    </w:p>
    <w:p>
      <w:pPr>
        <w:spacing w:after="0" w:line="1" w:lineRule="exact"/>
        <w:rPr>
          <w:rFonts w:ascii="Times New Roman" w:cs="Times New Roman" w:eastAsia="Times New Roman" w:hAnsi="Times New Roman"/>
          <w:sz w:val="17"/>
          <w:szCs w:val="17"/>
          <w:color w:val="auto"/>
        </w:rPr>
      </w:pPr>
    </w:p>
    <w:p>
      <w:pPr>
        <w:ind w:left="340" w:hanging="340"/>
        <w:spacing w:after="0"/>
        <w:tabs>
          <w:tab w:leader="none" w:pos="3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beneficiary designation requirements, (xiii) withholding procedures, and (xiv) handling of share issuances.</w:t>
      </w:r>
    </w:p>
    <w:p>
      <w:pPr>
        <w:spacing w:after="0" w:line="341" w:lineRule="exact"/>
        <w:rPr>
          <w:sz w:val="20"/>
          <w:szCs w:val="20"/>
          <w:color w:val="auto"/>
        </w:rPr>
      </w:pPr>
    </w:p>
    <w:p>
      <w:pPr>
        <w:ind w:left="420" w:hanging="420"/>
        <w:spacing w:after="0"/>
        <w:tabs>
          <w:tab w:leader="none" w:pos="42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Shares Subject to Plan; Limitations on Purchases and Purchase Rights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73" w:lineRule="auto"/>
        <w:tabs>
          <w:tab w:leader="none" w:pos="657"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Subject to Plan</w:t>
      </w:r>
      <w:r>
        <w:rPr>
          <w:rFonts w:ascii="Times New Roman" w:cs="Times New Roman" w:eastAsia="Times New Roman" w:hAnsi="Times New Roman"/>
          <w:sz w:val="17"/>
          <w:szCs w:val="17"/>
          <w:color w:val="auto"/>
        </w:rPr>
        <w:t>. The aggregate number of shares of Common Stock available for the issuance of shares pursuant to the Plan shall be no more than 20,000,000 shares (the “</w:t>
      </w:r>
      <w:r>
        <w:rPr>
          <w:rFonts w:ascii="Times New Roman" w:cs="Times New Roman" w:eastAsia="Times New Roman" w:hAnsi="Times New Roman"/>
          <w:sz w:val="17"/>
          <w:szCs w:val="17"/>
          <w:b w:val="1"/>
          <w:bCs w:val="1"/>
          <w:u w:val="single" w:color="auto"/>
          <w:color w:val="auto"/>
        </w:rPr>
        <w:t>Plan Share Reserve</w:t>
      </w:r>
      <w:r>
        <w:rPr>
          <w:rFonts w:ascii="Times New Roman" w:cs="Times New Roman" w:eastAsia="Times New Roman" w:hAnsi="Times New Roman"/>
          <w:sz w:val="17"/>
          <w:szCs w:val="17"/>
          <w:color w:val="auto"/>
        </w:rPr>
        <w:t xml:space="preserve">”), subject to adjustment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Notwithstanding the foregoing, the Plan Share Reserve shall automatically be increased on the first day of each fiscal year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560"/>
          </w:cols>
          <w:pgMar w:left="660" w:top="264" w:right="679" w:bottom="1440" w:gutter="0" w:footer="0" w:header="0"/>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following the fiscal year in which the Effective Date occurred beginning on the first day of the fiscal year following the fiscal year in which the Effective Date occurred (the “</w:t>
      </w:r>
      <w:r>
        <w:rPr>
          <w:rFonts w:ascii="Times New Roman" w:cs="Times New Roman" w:eastAsia="Times New Roman" w:hAnsi="Times New Roman"/>
          <w:sz w:val="17"/>
          <w:szCs w:val="17"/>
          <w:b w:val="1"/>
          <w:bCs w:val="1"/>
          <w:u w:val="single" w:color="auto"/>
          <w:color w:val="auto"/>
        </w:rPr>
        <w:t>First Increase Date</w:t>
      </w:r>
      <w:r>
        <w:rPr>
          <w:rFonts w:ascii="Times New Roman" w:cs="Times New Roman" w:eastAsia="Times New Roman" w:hAnsi="Times New Roman"/>
          <w:sz w:val="17"/>
          <w:szCs w:val="17"/>
          <w:color w:val="auto"/>
        </w:rPr>
        <w:t xml:space="preserve">”) and ending with a final increase on the nine (9)-year anniversary of the First Increase Date, by a number of shares of Common Stock equal to the least of (x) 14,000,000 shares of Common Stock, (y) 1% of the total number of shares of Common Stock outstanding on the last day of the immediately preceding fiscal year, and (z) a lower number of shares of Common Stock as determined by the Board. Shares of Common Stock distributed pursuant to the Plan shall be authorized but unissued shares, treasury shares or shares purchased on the open market or by private purchase. For avoidance of doubt, up to the maximum number of shares of Common Stock reserved under this </w:t>
      </w:r>
      <w:r>
        <w:rPr>
          <w:rFonts w:ascii="Times New Roman" w:cs="Times New Roman" w:eastAsia="Times New Roman" w:hAnsi="Times New Roman"/>
          <w:sz w:val="17"/>
          <w:szCs w:val="17"/>
          <w:u w:val="single" w:color="auto"/>
          <w:color w:val="auto"/>
        </w:rPr>
        <w:t>Section 4(a)</w:t>
      </w:r>
      <w:r>
        <w:rPr>
          <w:rFonts w:ascii="Times New Roman" w:cs="Times New Roman" w:eastAsia="Times New Roman" w:hAnsi="Times New Roman"/>
          <w:sz w:val="17"/>
          <w:szCs w:val="17"/>
          <w:color w:val="auto"/>
        </w:rPr>
        <w:t xml:space="preserve"> may be used to satisfy purchases of shares of Common Stock under Section 423 Offerings and any remaining portion of such maximum number of shares of Common Stock may be used to satisfy purchases of shares of Common Stock under Non-Section 423 Offerings. The Company hereby reserves sufficient authorized shares of Common Stock to provide for the exercise of Purchase Rights. In the event that any Purchase Right expires unexercised or is terminated, surrendered or canceled without being exercised, in whole or in part, for any reason, the number of shares of Common Stock subject to such Purchase Right shall again be available for issuance under the Plan and shall not reduce the aggregate number of shares of Common Stock available for the grant of Purchase Rights or issuance under the Plan.</w:t>
      </w:r>
    </w:p>
    <w:p>
      <w:pPr>
        <w:spacing w:after="0" w:line="182" w:lineRule="exact"/>
        <w:rPr>
          <w:sz w:val="20"/>
          <w:szCs w:val="20"/>
          <w:color w:val="auto"/>
        </w:rPr>
      </w:pPr>
    </w:p>
    <w:p>
      <w:pPr>
        <w:jc w:val="both"/>
        <w:ind w:firstLine="423"/>
        <w:spacing w:after="0" w:line="257" w:lineRule="auto"/>
        <w:tabs>
          <w:tab w:leader="none" w:pos="667"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Purchases and Purchase Rights</w:t>
      </w:r>
      <w:r>
        <w:rPr>
          <w:rFonts w:ascii="Times New Roman" w:cs="Times New Roman" w:eastAsia="Times New Roman" w:hAnsi="Times New Roman"/>
          <w:sz w:val="17"/>
          <w:szCs w:val="17"/>
          <w:color w:val="auto"/>
        </w:rPr>
        <w:t xml:space="preserve">. If, on a given Purchase Period End Date, the number of shares of Common Stock with respect to which Purchase Rights are to be exercised exceeds the number of shares then available under the Plan, the Company shall make a pro rata allocation of the shares remaining available for purchase in as uniform a manner as shall be practicable and as it shall determine to be equitable, and in no event shall the number of shares offered for purchase during any Offering Period exceed the number of shares then available under the Plan. In addition, in connection with any Offering, the Committee may specify a maximum number of shares of Common Stock that may be purchased by any single Participant on any Purchase Date during such Offering. In connection with each Offering, the Committee may specify a maximum aggregate number of shares of Common Stock that may be purchased by all Participants pursuant to such Offering. Further, in connection with each Offering that contains more than one Purchase Date, the Committee may specify a maximum aggregate number of shares of Common Stock that may be purchased by all Participants on any or each Purchase Date under the Offering. If the aggregate purchase of shares of Common Stock issuable upon exercise of Purchase Rights granted under the Offering would exceed any such maximum aggregate number, then, in the absence of any Committee action otherwise, the Company shall make a pro rata allocation of the shares available in as uniform a manner as shall be practicable and as it shall determine to be equitable. In the event that any pro rata allocation is made pursuant to this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any Contributions of a Participant not applied to the purchase of shares during such Offering Period shall be returned to such Participant (without interest, unless otherwise required by Applicable Law). Notwithstanding the foregoing, the Committee has authority, by resolution or otherwise, to modify the limitations on the number of shares of Common Stock that may be purchased by a Participant in any particular Offering Period or any particular Purchase Period.</w:t>
      </w:r>
    </w:p>
    <w:p>
      <w:pPr>
        <w:spacing w:after="0" w:line="315"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Eligibility and Participation; Payroll Deductions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ind w:left="660" w:hanging="237"/>
        <w:spacing w:after="0"/>
        <w:tabs>
          <w:tab w:leader="none" w:pos="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Purchase Rights may only be granted to Eligible Employees.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560"/>
          </w:cols>
          <w:pgMar w:left="660" w:top="264" w:right="679" w:bottom="1440" w:gutter="0" w:footer="0" w:header="0"/>
        </w:sectPr>
      </w:pPr>
    </w:p>
    <w:bookmarkStart w:id="43" w:name="page44"/>
    <w:bookmarkEnd w:id="43"/>
    <w:p>
      <w:pPr>
        <w:jc w:val="both"/>
        <w:ind w:firstLine="423"/>
        <w:spacing w:after="0" w:line="263" w:lineRule="auto"/>
        <w:tabs>
          <w:tab w:leader="none" w:pos="693"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Initial Eligibility</w:t>
      </w:r>
      <w:r>
        <w:rPr>
          <w:rFonts w:ascii="Times New Roman" w:cs="Times New Roman" w:eastAsia="Times New Roman" w:hAnsi="Times New Roman"/>
          <w:sz w:val="17"/>
          <w:szCs w:val="17"/>
          <w:color w:val="auto"/>
        </w:rPr>
        <w:t xml:space="preserve">. Any Eligible Employee who has completed 90 days’ employment and is employed by the Company or a Designated Company on the date such Eligible Employee’s participation in the Plan is to become effective shall be eligible to be a Participant during any Offering Period that begins on or after the end of such 90-day period. An Employee who becomes an Eligible Employee on or after the Grant Date will not be eligible to participate in such Offering Period but may participate in any subsequent Offering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Employee is still an Eligible Employee as of the Grant Date of such subsequent Offering Period.</w:t>
      </w:r>
    </w:p>
    <w:p>
      <w:pPr>
        <w:spacing w:after="0" w:line="172" w:lineRule="exact"/>
        <w:rPr>
          <w:rFonts w:ascii="Times New Roman" w:cs="Times New Roman" w:eastAsia="Times New Roman" w:hAnsi="Times New Roman"/>
          <w:sz w:val="17"/>
          <w:szCs w:val="17"/>
          <w:color w:val="auto"/>
        </w:rPr>
      </w:pPr>
    </w:p>
    <w:p>
      <w:pPr>
        <w:jc w:val="both"/>
        <w:ind w:firstLine="423"/>
        <w:spacing w:after="0" w:line="230" w:lineRule="auto"/>
        <w:tabs>
          <w:tab w:leader="none" w:pos="65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 of Absence</w:t>
      </w:r>
      <w:r>
        <w:rPr>
          <w:rFonts w:ascii="Times New Roman" w:cs="Times New Roman" w:eastAsia="Times New Roman" w:hAnsi="Times New Roman"/>
          <w:sz w:val="17"/>
          <w:szCs w:val="17"/>
          <w:color w:val="auto"/>
        </w:rPr>
        <w:t>. For purposes of participation in the Plan, a person on leave of absence shall be deemed to be an Employee for the first 90 days of such leave of absence and such Employee’s employment shall be deemed to have terminated at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such leave of absence unless such Employee shall have returned to regular full-time or parttime employment (as the case may be) prior to the close of business on such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or unless such Employee has a right to reemployment that is guaranteed either by statute or contract (including, for avoidance of doubt, any guaranteed right to reemployment provided under any non U.S. law, contract or policy). Termination by the Company of any Employee’s leave of absence, other than termination of such leave of absence on return to full-time or part-time employment, shall terminate an Employee’s employment for all purposes of the Plan and shall terminate such Employee’s participation in the Plan and right to exercise any Purchase Right, unless such Employee has a right to reemployment that is guaranteed either by statute or contract.</w:t>
      </w:r>
    </w:p>
    <w:p>
      <w:pPr>
        <w:spacing w:after="0" w:line="189" w:lineRule="exact"/>
        <w:rPr>
          <w:rFonts w:ascii="Times New Roman" w:cs="Times New Roman" w:eastAsia="Times New Roman" w:hAnsi="Times New Roman"/>
          <w:sz w:val="17"/>
          <w:szCs w:val="17"/>
          <w:color w:val="auto"/>
        </w:rPr>
      </w:pPr>
    </w:p>
    <w:p>
      <w:pPr>
        <w:jc w:val="both"/>
        <w:ind w:firstLine="423"/>
        <w:spacing w:after="0" w:line="261" w:lineRule="auto"/>
        <w:tabs>
          <w:tab w:leader="none" w:pos="6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Commencement of Participation</w:t>
      </w:r>
      <w:r>
        <w:rPr>
          <w:rFonts w:ascii="Times New Roman" w:cs="Times New Roman" w:eastAsia="Times New Roman" w:hAnsi="Times New Roman"/>
          <w:sz w:val="17"/>
          <w:szCs w:val="17"/>
          <w:color w:val="auto"/>
        </w:rPr>
        <w:t xml:space="preserve">. An Eligible Employee shall become a Participant by completing an authorization for Contributions on the form provided by the Company (and such other documents as may be required by the Committee) and delivering such forms and documents to the Company or an agent designated by the Company on or before the date set therefor by the Committee, which date shall be prior to the Grant Date for the applicable Offering Period. Contributions for a Participant during an Offering Period shall commence on the applicable Purchase Period Start Date when the Participant’s authorization for a Contribution becomes effective and shall continue for successive Purchase Periods during which the Participant is eligible to participate in the Plan, unless authorizations are withdrawn or participation is terminated, as provided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jc w:val="both"/>
        <w:ind w:firstLine="423"/>
        <w:spacing w:after="0" w:line="263" w:lineRule="auto"/>
        <w:tabs>
          <w:tab w:leader="none" w:pos="65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Amount of Contributions; Determination of Compensation</w:t>
      </w:r>
      <w:r>
        <w:rPr>
          <w:rFonts w:ascii="Times New Roman" w:cs="Times New Roman" w:eastAsia="Times New Roman" w:hAnsi="Times New Roman"/>
          <w:sz w:val="17"/>
          <w:szCs w:val="17"/>
          <w:color w:val="auto"/>
        </w:rPr>
        <w:t>. At the time a Participant files an authorization for Contributions, a Participant shall elect to have deductions or other Contributions made from the Participant’s pay on each payday while participating in an Offering Period at a rate of not less than 1% nor more than 15% (in whole percentages only) of Compensation, measured on either a pre-tax or an after-tax basis as determined by the Committee and/or as specified in such authorization. Such Compensation rates shall be determined by the Committee in a nondiscriminatory manner consistent with the provisions of Code Section 423 in the case of a Section 423 Offering.</w:t>
      </w:r>
    </w:p>
    <w:p>
      <w:pPr>
        <w:spacing w:after="0" w:line="172" w:lineRule="exact"/>
        <w:rPr>
          <w:rFonts w:ascii="Times New Roman" w:cs="Times New Roman" w:eastAsia="Times New Roman" w:hAnsi="Times New Roman"/>
          <w:sz w:val="17"/>
          <w:szCs w:val="17"/>
          <w:color w:val="auto"/>
        </w:rPr>
      </w:pPr>
    </w:p>
    <w:p>
      <w:pPr>
        <w:jc w:val="both"/>
        <w:ind w:firstLine="423"/>
        <w:spacing w:after="0" w:line="266" w:lineRule="auto"/>
        <w:tabs>
          <w:tab w:leader="none" w:pos="65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Participant’s Account; No Interest</w:t>
      </w:r>
      <w:r>
        <w:rPr>
          <w:rFonts w:ascii="Times New Roman" w:cs="Times New Roman" w:eastAsia="Times New Roman" w:hAnsi="Times New Roman"/>
          <w:sz w:val="17"/>
          <w:szCs w:val="17"/>
          <w:color w:val="auto"/>
        </w:rPr>
        <w:t xml:space="preserve">. All Contributions made by a Participant shall be credited to the Participant’s account under the Plan. A Participant may not make any separate cash payment into such account except when on leave of absence and then only as provided in </w:t>
      </w:r>
      <w:r>
        <w:rPr>
          <w:rFonts w:ascii="Times New Roman" w:cs="Times New Roman" w:eastAsia="Times New Roman" w:hAnsi="Times New Roman"/>
          <w:sz w:val="17"/>
          <w:szCs w:val="17"/>
          <w:u w:val="single" w:color="auto"/>
          <w:color w:val="auto"/>
        </w:rPr>
        <w:t>Section 5(h)</w:t>
      </w:r>
      <w:r>
        <w:rPr>
          <w:rFonts w:ascii="Times New Roman" w:cs="Times New Roman" w:eastAsia="Times New Roman" w:hAnsi="Times New Roman"/>
          <w:sz w:val="17"/>
          <w:szCs w:val="17"/>
          <w:color w:val="auto"/>
        </w:rPr>
        <w:t xml:space="preserve"> or unless otherwise required by Applicable Law. In no event shall interest accrue on any Contributions made by a Participant, unless otherwise required by Applicable Law.</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560"/>
          </w:cols>
          <w:pgMar w:left="660" w:top="264" w:right="679" w:bottom="1440" w:gutter="0" w:footer="0" w:header="0"/>
        </w:sectPr>
      </w:pPr>
    </w:p>
    <w:bookmarkStart w:id="44" w:name="page45"/>
    <w:bookmarkEnd w:id="44"/>
    <w:p>
      <w:pPr>
        <w:jc w:val="both"/>
        <w:ind w:firstLine="423"/>
        <w:spacing w:after="0" w:line="261" w:lineRule="auto"/>
        <w:tabs>
          <w:tab w:leader="none" w:pos="667"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Changes in Payroll Deductions</w:t>
      </w:r>
      <w:r>
        <w:rPr>
          <w:rFonts w:ascii="Times New Roman" w:cs="Times New Roman" w:eastAsia="Times New Roman" w:hAnsi="Times New Roman"/>
          <w:sz w:val="17"/>
          <w:szCs w:val="17"/>
          <w:color w:val="auto"/>
        </w:rPr>
        <w:t xml:space="preserve">. A Participant may withdraw, terminate or discontinue participation in the Plan as provided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but no other change can be made during an Offering Period and, specifically, a Participant may not alter the amount of Contributions for that Offering Period. Notwithstanding the foregoing, to the extent necessary to comply with the limitation of Code Section 423(b)(8), or </w:t>
      </w:r>
      <w:r>
        <w:rPr>
          <w:rFonts w:ascii="Times New Roman" w:cs="Times New Roman" w:eastAsia="Times New Roman" w:hAnsi="Times New Roman"/>
          <w:sz w:val="17"/>
          <w:szCs w:val="17"/>
          <w:u w:val="single" w:color="auto"/>
          <w:color w:val="auto"/>
        </w:rPr>
        <w:t>Section 2(l)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and/or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of the Plan, a Participant’s Contribution election may be decreased to 0% at any time during an Offering Period. In such event, Contributions shall continue at the newly elected rate with respect to the next Offering Period, unless otherwise provided under the terms of the Plan or as otherwise determined by the Committee.</w:t>
      </w:r>
    </w:p>
    <w:p>
      <w:pPr>
        <w:spacing w:after="0" w:line="174" w:lineRule="exact"/>
        <w:rPr>
          <w:rFonts w:ascii="Times New Roman" w:cs="Times New Roman" w:eastAsia="Times New Roman" w:hAnsi="Times New Roman"/>
          <w:sz w:val="17"/>
          <w:szCs w:val="17"/>
          <w:color w:val="auto"/>
        </w:rPr>
      </w:pPr>
    </w:p>
    <w:p>
      <w:pPr>
        <w:ind w:left="700" w:hanging="277"/>
        <w:spacing w:after="0"/>
        <w:tabs>
          <w:tab w:leader="none" w:pos="7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 During Leave of Absence</w:t>
      </w:r>
      <w:r>
        <w:rPr>
          <w:rFonts w:ascii="Times New Roman" w:cs="Times New Roman" w:eastAsia="Times New Roman" w:hAnsi="Times New Roman"/>
          <w:sz w:val="17"/>
          <w:szCs w:val="17"/>
          <w:color w:val="auto"/>
        </w:rPr>
        <w:t>. If a Participant goes on a leave of absence, such Participant shall have the right to elect to:</w:t>
      </w:r>
    </w:p>
    <w:p>
      <w:pPr>
        <w:spacing w:after="0" w:line="30" w:lineRule="exact"/>
        <w:rPr>
          <w:rFonts w:ascii="Times New Roman" w:cs="Times New Roman" w:eastAsia="Times New Roman" w:hAnsi="Times New Roman"/>
          <w:sz w:val="17"/>
          <w:szCs w:val="17"/>
          <w:color w:val="auto"/>
        </w:rPr>
      </w:pPr>
    </w:p>
    <w:p>
      <w:pPr>
        <w:jc w:val="both"/>
        <w:spacing w:after="0" w:line="257" w:lineRule="auto"/>
        <w:tabs>
          <w:tab w:leader="none" w:pos="219"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withdraw the balance in such Participant’s account pursuant to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(ii) discontinue Contributions to the Plan but remain a Participant in the Plan; or (iii) remain a Participant in the Plan during such leave of absence, authorizing Contributions to be made from payments by the Company or a Subsidiary or Affiliate to the Participant during such leave of absence and undertaking to make cash payments to the Plan at the end of each payroll period to the extent that amounts payable by the Company or any Subsidiary or Affiliate to such Participant are insufficient to meet such Participant’s authorized Contributions.</w:t>
      </w:r>
    </w:p>
    <w:p>
      <w:pPr>
        <w:spacing w:after="0" w:line="177" w:lineRule="exact"/>
        <w:rPr>
          <w:rFonts w:ascii="Times New Roman" w:cs="Times New Roman" w:eastAsia="Times New Roman" w:hAnsi="Times New Roman"/>
          <w:sz w:val="17"/>
          <w:szCs w:val="17"/>
          <w:color w:val="auto"/>
        </w:rPr>
      </w:pPr>
    </w:p>
    <w:p>
      <w:pPr>
        <w:jc w:val="both"/>
        <w:ind w:firstLine="423"/>
        <w:spacing w:after="0" w:line="259" w:lineRule="auto"/>
        <w:tabs>
          <w:tab w:leader="none" w:pos="65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Eligibility Rules for Foreign Participants</w:t>
      </w:r>
      <w:r>
        <w:rPr>
          <w:rFonts w:ascii="Times New Roman" w:cs="Times New Roman" w:eastAsia="Times New Roman" w:hAnsi="Times New Roman"/>
          <w:sz w:val="17"/>
          <w:szCs w:val="17"/>
          <w:color w:val="auto"/>
        </w:rPr>
        <w:t xml:space="preserve">. Notwithstanding the provisions of </w:t>
      </w:r>
      <w:r>
        <w:rPr>
          <w:rFonts w:ascii="Times New Roman" w:cs="Times New Roman" w:eastAsia="Times New Roman" w:hAnsi="Times New Roman"/>
          <w:sz w:val="17"/>
          <w:szCs w:val="17"/>
          <w:u w:val="single" w:color="auto"/>
          <w:color w:val="auto"/>
        </w:rPr>
        <w:t>Section 2(l)</w:t>
      </w:r>
      <w:r>
        <w:rPr>
          <w:rFonts w:ascii="Times New Roman" w:cs="Times New Roman" w:eastAsia="Times New Roman" w:hAnsi="Times New Roman"/>
          <w:sz w:val="17"/>
          <w:szCs w:val="17"/>
          <w:color w:val="auto"/>
        </w:rPr>
        <w:t xml:space="preserve">, Eligible Employees who are citizens or residents of a foreign jurisdiction (without regard to whether they are also citizens of the United States or resident aliens) may be excluded from the Plan or an Offering if (i) the grant of a Purchase Right under the Plan or Offering to a citizen or resident of the foreign jurisdiction is prohibited under Applicable Law; or (ii) compliance with the Applicable Law would cause the Plan or Offering to violate the requirements of Code Section 423. In the case of a Non-Section 423 Offering, an Eligible Employee (or group of Eligible Employees) may be excluded from participation in the Plan or an Offering if the Committee has determined, in its sole discretion, that participation of such Eligible Employee(s) is not advisable or practicable for any reason. Further, notwithstanding the provisions of </w:t>
      </w:r>
      <w:r>
        <w:rPr>
          <w:rFonts w:ascii="Times New Roman" w:cs="Times New Roman" w:eastAsia="Times New Roman" w:hAnsi="Times New Roman"/>
          <w:sz w:val="17"/>
          <w:szCs w:val="17"/>
          <w:u w:val="single" w:color="auto"/>
          <w:color w:val="auto"/>
        </w:rPr>
        <w:t>Section 2(l)</w:t>
      </w:r>
      <w:r>
        <w:rPr>
          <w:rFonts w:ascii="Times New Roman" w:cs="Times New Roman" w:eastAsia="Times New Roman" w:hAnsi="Times New Roman"/>
          <w:sz w:val="17"/>
          <w:szCs w:val="17"/>
          <w:color w:val="auto"/>
        </w:rPr>
        <w:t>, an Employee who does not otherwise qualify as an Eligible Employee may, in the Committee’s discretion, participate in a Non-Section 423 Offering if and to the extent required by Applicable Law.</w:t>
      </w:r>
    </w:p>
    <w:p>
      <w:pPr>
        <w:spacing w:after="0" w:line="318" w:lineRule="exact"/>
        <w:rPr>
          <w:sz w:val="20"/>
          <w:szCs w:val="20"/>
          <w:color w:val="auto"/>
        </w:rPr>
      </w:pPr>
    </w:p>
    <w:p>
      <w:pPr>
        <w:ind w:left="420" w:hanging="420"/>
        <w:spacing w:after="0"/>
        <w:tabs>
          <w:tab w:leader="none" w:pos="4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Grant of Purchase Rights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58" w:lineRule="auto"/>
        <w:tabs>
          <w:tab w:leader="none" w:pos="65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Sub</w:t>
      </w:r>
      <w:r>
        <w:rPr>
          <w:rFonts w:ascii="Times New Roman" w:cs="Times New Roman" w:eastAsia="Times New Roman" w:hAnsi="Times New Roman"/>
          <w:sz w:val="17"/>
          <w:szCs w:val="17"/>
          <w:color w:val="auto"/>
        </w:rPr>
        <w:t>j</w:t>
      </w:r>
      <w:r>
        <w:rPr>
          <w:rFonts w:ascii="Times New Roman" w:cs="Times New Roman" w:eastAsia="Times New Roman" w:hAnsi="Times New Roman"/>
          <w:sz w:val="17"/>
          <w:szCs w:val="17"/>
          <w:u w:val="single" w:color="auto"/>
          <w:color w:val="auto"/>
        </w:rPr>
        <w:t>ect to Purchase Right</w:t>
      </w:r>
      <w:r>
        <w:rPr>
          <w:rFonts w:ascii="Times New Roman" w:cs="Times New Roman" w:eastAsia="Times New Roman" w:hAnsi="Times New Roman"/>
          <w:sz w:val="17"/>
          <w:szCs w:val="17"/>
          <w:color w:val="auto"/>
        </w:rPr>
        <w:t xml:space="preserve">. On the Grant Date, a Participant shall be granted a Purchase Right to purchase, on each Purchase Period End Date of the Offering Period to which such Grant Date relates, at the applicable Purchase Price, such number of shares of Common Stock as is determined by dividing (x) the amount of the Participant’s Contributions accumulated as of the Purchase Period End Date and retained in the Participant’s account as of the Purchase Period End Date by (y) the applicable Purchase Price (as determined in accordance with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no Participant may purchase shares of Common Stock in excess of the limitations set forth in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xml:space="preserve">, and the number of shares subject to a Purchase Right shall be adjusted as necessary to conform to such limitations; and (ii) in no event shall the aggregate number of shares deemed to be subject to Purchase Rights during an Offering Period exceed the number of shares then available under the Plan or the maximum number of shares that a Participant may purchase for any single Offering Period and for any single Purchase Period (in each case, as provided in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the number of shares deemed to be subject to Purchase Rights shall be adjusted as necessary to conform to these limitations. The Fair Market Value of the shares of Common Stock shall be determined as provided in </w:t>
      </w:r>
      <w:r>
        <w:rPr>
          <w:rFonts w:ascii="Times New Roman" w:cs="Times New Roman" w:eastAsia="Times New Roman" w:hAnsi="Times New Roman"/>
          <w:sz w:val="17"/>
          <w:szCs w:val="17"/>
          <w:u w:val="single" w:color="auto"/>
          <w:color w:val="auto"/>
        </w:rPr>
        <w:t>Section 2(o)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 xml:space="preserve">, and a Participant’s Compensation shall be determined according to </w:t>
      </w:r>
      <w:r>
        <w:rPr>
          <w:rFonts w:ascii="Times New Roman" w:cs="Times New Roman" w:eastAsia="Times New Roman" w:hAnsi="Times New Roman"/>
          <w:sz w:val="17"/>
          <w:szCs w:val="17"/>
          <w:u w:val="single" w:color="auto"/>
          <w:color w:val="auto"/>
        </w:rPr>
        <w:t>Section 2(i)</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560"/>
          </w:cols>
          <w:pgMar w:left="660" w:top="264" w:right="679" w:bottom="1440" w:gutter="0" w:footer="0" w:header="0"/>
        </w:sectPr>
      </w:pPr>
    </w:p>
    <w:bookmarkStart w:id="45" w:name="page46"/>
    <w:bookmarkEnd w:id="45"/>
    <w:p>
      <w:pPr>
        <w:jc w:val="both"/>
        <w:ind w:firstLine="423"/>
        <w:spacing w:after="0" w:line="260" w:lineRule="auto"/>
        <w:tabs>
          <w:tab w:leader="none" w:pos="70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Purchase Price</w:t>
      </w:r>
      <w:r>
        <w:rPr>
          <w:rFonts w:ascii="Times New Roman" w:cs="Times New Roman" w:eastAsia="Times New Roman" w:hAnsi="Times New Roman"/>
          <w:sz w:val="17"/>
          <w:szCs w:val="17"/>
          <w:color w:val="auto"/>
        </w:rPr>
        <w:t xml:space="preserve">. The Purchase Price per share of Common Stock purchased with Contributions made during an Offering Period for a Participant shall be equal to 85% (or such greater percentage as may be determined by the Committee prior to the commencement of an Offering Period in which such Purchase Period occurs) of the lesser of (i) the Fair Market Value per share of Common Stock on the applicable Purchase Period End Date or (ii) the Fair Market Value of a share of Common Stock on the applicable Grant Date in which the Purchase Period occurs;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the Purchase Price per share be less than the par value per share of the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Committee may determine prior to a Purchase Period to calculate the Purchase Price for such Purchase Period solely by reference to the Fair Market Value of a share of Common Stock on the applicable Purchase Period End Date or Grant Date, or based on the greater (rather than the lesser) of such values.</w:t>
      </w:r>
    </w:p>
    <w:p>
      <w:pPr>
        <w:spacing w:after="0" w:line="315"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Exercise of Purchase Rights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63" w:lineRule="auto"/>
        <w:tabs>
          <w:tab w:leader="none" w:pos="657"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Automatic Exercise</w:t>
      </w:r>
      <w:r>
        <w:rPr>
          <w:rFonts w:ascii="Times New Roman" w:cs="Times New Roman" w:eastAsia="Times New Roman" w:hAnsi="Times New Roman"/>
          <w:sz w:val="17"/>
          <w:szCs w:val="17"/>
          <w:color w:val="auto"/>
        </w:rPr>
        <w:t xml:space="preserve">. Unless a Participant gives written notice to the Company or an agent designated by the Company of withdrawal at least 30 days prior to the end of the Offering Period or terminates employment as hereinafter provided, the Participant’s Purchase Rights will be deemed to have been exercised automatically on the Purchase Period End Date applicable to such Offering Period, for the purchase of the number of shares of Common Stock that the Participant’s accumulated Contributions at that time will purchase at the applicable Purchase Price (but not in excess of the number of shares for which Purchase Rights have been granted to the Participant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6(a)</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jc w:val="both"/>
        <w:ind w:firstLine="423"/>
        <w:spacing w:after="0" w:line="273" w:lineRule="auto"/>
        <w:tabs>
          <w:tab w:leader="none" w:pos="68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Purchase Right</w:t>
      </w:r>
      <w:r>
        <w:rPr>
          <w:rFonts w:ascii="Times New Roman" w:cs="Times New Roman" w:eastAsia="Times New Roman" w:hAnsi="Times New Roman"/>
          <w:sz w:val="17"/>
          <w:szCs w:val="17"/>
          <w:color w:val="auto"/>
        </w:rPr>
        <w:t xml:space="preserve">. A Purchase Right shall expire on the earlier of (i) the date of termination of the Participant’s employment, except as otherwise provided in </w:t>
      </w:r>
      <w:r>
        <w:rPr>
          <w:rFonts w:ascii="Times New Roman" w:cs="Times New Roman" w:eastAsia="Times New Roman" w:hAnsi="Times New Roman"/>
          <w:sz w:val="17"/>
          <w:szCs w:val="17"/>
          <w:u w:val="single" w:color="auto"/>
          <w:color w:val="auto"/>
        </w:rPr>
        <w:t>Section 5(h)</w:t>
      </w:r>
      <w:r>
        <w:rPr>
          <w:rFonts w:ascii="Times New Roman" w:cs="Times New Roman" w:eastAsia="Times New Roman" w:hAnsi="Times New Roman"/>
          <w:sz w:val="17"/>
          <w:szCs w:val="17"/>
          <w:color w:val="auto"/>
        </w:rPr>
        <w:t xml:space="preserve"> (regarding leaves of absence), or as otherwise required by Applicable Law, or (ii) the end of the last day of the applicable Purchase Period.</w:t>
      </w:r>
    </w:p>
    <w:p>
      <w:pPr>
        <w:spacing w:after="0" w:line="161" w:lineRule="exact"/>
        <w:rPr>
          <w:rFonts w:ascii="Times New Roman" w:cs="Times New Roman" w:eastAsia="Times New Roman" w:hAnsi="Times New Roman"/>
          <w:sz w:val="17"/>
          <w:szCs w:val="17"/>
          <w:color w:val="auto"/>
        </w:rPr>
      </w:pPr>
    </w:p>
    <w:p>
      <w:pPr>
        <w:jc w:val="both"/>
        <w:ind w:firstLine="423"/>
        <w:spacing w:after="0" w:line="261" w:lineRule="auto"/>
        <w:tabs>
          <w:tab w:leader="none" w:pos="657"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 Excess Amounts</w:t>
      </w:r>
      <w:r>
        <w:rPr>
          <w:rFonts w:ascii="Times New Roman" w:cs="Times New Roman" w:eastAsia="Times New Roman" w:hAnsi="Times New Roman"/>
          <w:sz w:val="17"/>
          <w:szCs w:val="17"/>
          <w:color w:val="auto"/>
        </w:rPr>
        <w:t>. Fractional shares will not be issued under the Plan, unless otherwise determined by the Committee. Any excess Contributions in a Participant’s account that would have been used to purchase fractional shares will be automatically re-invested in a subsequent Offering Period unless the Participant timely revokes such Participant’s authorization to re-invest such excess amounts or the Company elects to return such Contributions to the Participant. Except as permitted by the foregoing or as otherwise determined by the Committee, any amounts that were contributed but not applied toward the purchase of shares of Common Stock shall not be carried forward to future Offering Periods and shall be returned to Participants.</w:t>
      </w:r>
    </w:p>
    <w:p>
      <w:pPr>
        <w:spacing w:after="0" w:line="174" w:lineRule="exact"/>
        <w:rPr>
          <w:rFonts w:ascii="Times New Roman" w:cs="Times New Roman" w:eastAsia="Times New Roman" w:hAnsi="Times New Roman"/>
          <w:sz w:val="17"/>
          <w:szCs w:val="17"/>
          <w:color w:val="auto"/>
        </w:rPr>
      </w:pPr>
    </w:p>
    <w:p>
      <w:pPr>
        <w:jc w:val="both"/>
        <w:ind w:firstLine="423"/>
        <w:spacing w:after="0" w:line="266" w:lineRule="auto"/>
        <w:tabs>
          <w:tab w:leader="none" w:pos="667"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Certificates; Credit to Participant Accounts</w:t>
      </w:r>
      <w:r>
        <w:rPr>
          <w:rFonts w:ascii="Times New Roman" w:cs="Times New Roman" w:eastAsia="Times New Roman" w:hAnsi="Times New Roman"/>
          <w:sz w:val="17"/>
          <w:szCs w:val="17"/>
          <w:color w:val="auto"/>
        </w:rPr>
        <w:t>. As promptly as practicable after the Purchase Period End Date of each Purchase Period, the shares of Common Stock purchased by a Participant for the Purchase Period shall be credited to such Participant’s account maintained by the Company, a stock brokerage or other financial services firm designated by the Company or the Participant or other similar entity, unless the Participant elects to have the Company deliver to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560"/>
          </w:cols>
          <w:pgMar w:left="660" w:top="264" w:right="679" w:bottom="1440" w:gutter="0" w:footer="0" w:header="0"/>
        </w:sectPr>
      </w:pPr>
    </w:p>
    <w:bookmarkStart w:id="46" w:name="page47"/>
    <w:bookmarkEnd w:id="46"/>
    <w:p>
      <w:pPr>
        <w:jc w:val="both"/>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Participant certificates for the shares of Common Stock purchased upon exercise of the Participant’s Purchase Right. If a Participant elects to have shares credited to the Participant’s account (rather than certificates issued), a report will be made available to such Participant after the close of each Purchase Period stating the entries made to such Participant’s account, the number of shares of Common Stock purchased and the applicable Purchase Price.</w:t>
      </w:r>
    </w:p>
    <w:p>
      <w:pPr>
        <w:spacing w:after="0" w:line="200" w:lineRule="exact"/>
        <w:rPr>
          <w:sz w:val="20"/>
          <w:szCs w:val="20"/>
          <w:color w:val="auto"/>
        </w:rPr>
      </w:pPr>
    </w:p>
    <w:p>
      <w:pPr>
        <w:spacing w:after="0" w:line="317" w:lineRule="exact"/>
        <w:rPr>
          <w:sz w:val="20"/>
          <w:szCs w:val="20"/>
          <w:color w:val="auto"/>
        </w:rPr>
      </w:pPr>
    </w:p>
    <w:p>
      <w:pPr>
        <w:ind w:left="420" w:hanging="420"/>
        <w:spacing w:after="0"/>
        <w:tabs>
          <w:tab w:leader="none" w:pos="4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Withdrawal; Termination of Employment</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58" w:lineRule="auto"/>
        <w:tabs>
          <w:tab w:leader="none" w:pos="657"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Withdrawal</w:t>
      </w:r>
      <w:r>
        <w:rPr>
          <w:rFonts w:ascii="Times New Roman" w:cs="Times New Roman" w:eastAsia="Times New Roman" w:hAnsi="Times New Roman"/>
          <w:sz w:val="17"/>
          <w:szCs w:val="17"/>
          <w:color w:val="auto"/>
        </w:rPr>
        <w:t>. A Participant may withdraw Contributions credited to the Participant’s account during an Offering Period at any time prior to the last day of such Offering Period by giving sufficient prior written notice to the Company or an agent designated by the Company. All of the Participant’s Contributions credited to the Participant’s account will be paid to the Participant promptly (without interest, unless otherwise required by Applicable Law) after receipt of the Participant’s notice of withdrawal, and no further Contributions will be made from the Participant’s Compensation during such Offering Period. The Company may, at its option, treat any attempt to borrow by a Participant on the security of such Participant’s accumulated Contributions as an election to withdraw such Contributions. A Participant’s withdrawal from any Offering Period will not have any effect upon the Participant’s eligibility to participate in any subsequent Offering Period or in any similar plan which may hereafter be adopted by the Company. Notwithstanding the foregoing, if a Participant withdraws during an Offering Period, Contributions shall not resume at the beginning of a succeeding Offering Period unless the Participant is eligible to participate and the Participant delivers to the Company or an agent designated by the Company a new, completed authorization form (and such other documents as may be required by the Committee) and otherwise complies with the terms of the Plan.</w:t>
      </w:r>
    </w:p>
    <w:p>
      <w:pPr>
        <w:spacing w:after="0" w:line="177" w:lineRule="exact"/>
        <w:rPr>
          <w:rFonts w:ascii="Times New Roman" w:cs="Times New Roman" w:eastAsia="Times New Roman" w:hAnsi="Times New Roman"/>
          <w:sz w:val="17"/>
          <w:szCs w:val="17"/>
          <w:color w:val="auto"/>
        </w:rPr>
      </w:pPr>
    </w:p>
    <w:p>
      <w:pPr>
        <w:jc w:val="both"/>
        <w:ind w:firstLine="423"/>
        <w:spacing w:after="0" w:line="259" w:lineRule="auto"/>
        <w:tabs>
          <w:tab w:leader="none" w:pos="693"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Participant Ineligibility</w:t>
      </w:r>
      <w:r>
        <w:rPr>
          <w:rFonts w:ascii="Times New Roman" w:cs="Times New Roman" w:eastAsia="Times New Roman" w:hAnsi="Times New Roman"/>
          <w:sz w:val="17"/>
          <w:szCs w:val="17"/>
          <w:color w:val="auto"/>
        </w:rPr>
        <w:t>. Upon termination of a Participant’s employment for any reason (including but not limited to termination due to death but excluding a leave of absence for a period of less than 90 days or a leave of absence of any duration where reemployment is guaranteed by either statute or contract), or in the event that a Participant otherwise ceases to be an Eligible Employee, the Participant’s participation in the Plan shall be terminated, unless otherwise required by Applicable Law. In the event of a Participant’s termination of employment or in the event that a Participant otherwise ceases to be an Eligible Employee, the Contributions credited to the Participant’s account will be returned (without interest, unless otherwise required by Applicable Law) to the Participant, or, in the case of death, to a beneficiary duly designated on a form acceptable to the Committee. Any unexercised Purchase Rights granted to a Participant during any Offering Period then in effect shall be deemed to have expired on the date of the Participant’s termination of employment or the date the Participant otherwise ceases to be an Eligible Employee, unless terminated earlier in accordance with the terms of the Plan, and no further Contributions will be made for the Participant’s account.</w:t>
      </w:r>
    </w:p>
    <w:p>
      <w:pPr>
        <w:spacing w:after="0" w:line="313"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Transferability</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firstLine="422"/>
        <w:spacing w:after="0" w:line="263" w:lineRule="auto"/>
        <w:rPr>
          <w:sz w:val="20"/>
          <w:szCs w:val="20"/>
          <w:color w:val="auto"/>
        </w:rPr>
      </w:pPr>
      <w:r>
        <w:rPr>
          <w:rFonts w:ascii="Times New Roman" w:cs="Times New Roman" w:eastAsia="Times New Roman" w:hAnsi="Times New Roman"/>
          <w:sz w:val="17"/>
          <w:szCs w:val="17"/>
          <w:color w:val="auto"/>
        </w:rPr>
        <w:t>No Purchase Right (or rights attendant to a Purchase Right) may be transferred, assigned, pledged or hypothecated (whether by operation of law or otherwise), except as provided by will or the laws of descent and distribution, and no Purchase Right shall be subject to execution, attachment or similar process. Any attempted assignment, transfer, pledge, hypothecation or other disposition of a Purchase Right, or levy of attachment or similar process upon the Purchase Right not specifically permitted in the Plan, shall be null and void and without effect. A Purchase Right may be exercised during a Participant’s lifetime only by the Participant.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560"/>
          </w:cols>
          <w:pgMar w:left="660" w:top="264" w:right="679" w:bottom="1440" w:gutter="0" w:footer="0" w:header="0"/>
        </w:sectPr>
      </w:pPr>
    </w:p>
    <w:bookmarkStart w:id="47" w:name="page48"/>
    <w:bookmarkEnd w:id="47"/>
    <w:p>
      <w:pPr>
        <w:ind w:left="420" w:hanging="420"/>
        <w:spacing w:after="0"/>
        <w:tabs>
          <w:tab w:leader="none" w:pos="4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Dilution and Other Adjustments; Change in Control</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59" w:lineRule="auto"/>
        <w:tabs>
          <w:tab w:leader="none" w:pos="67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Right to Issue Additional Securities</w:t>
      </w:r>
      <w:r>
        <w:rPr>
          <w:rFonts w:ascii="Times New Roman" w:cs="Times New Roman" w:eastAsia="Times New Roman" w:hAnsi="Times New Roman"/>
          <w:sz w:val="17"/>
          <w:szCs w:val="17"/>
          <w:color w:val="auto"/>
        </w:rPr>
        <w:t>. If there is any change in the outstanding shares of Common Stock because of a merger, Change in Control, consolidation, recapitalization or reorganization involving the Company, or if the Board declares a stock dividend, stock split distributable in shares of Common Stock or reverse stock split, other distribution (other than ordinary or regular cash dividends) or combination or reclassification of the Common Stock, or if there is a similar change in the capital stock structure of the Company affecting the Common Stock (excluding conversion of convertible securities by the Company and/or the exercise of warrants by their holders), then the number and type of shares of Common Stock reserved for issuance under the Plan shall be correspondingly adjusted, and the Committee shall, subject to Applicable Law, make such adjustments to Purchase Rights (such as the number and type of shares subject to a Purchase Right and the Purchase Price of a Purchase Right) or to any provisions of this Plan as the Committee deems equitable to prevent dilution or enlargement of Purchase Rights or as may otherwise be advisable. Nothing in the Plan, a Purchase Right or any related instrument shall limit the ability of the Company to issue additional securities of any type or class.</w:t>
      </w:r>
    </w:p>
    <w:p>
      <w:pPr>
        <w:spacing w:after="0" w:line="173" w:lineRule="exact"/>
        <w:rPr>
          <w:rFonts w:ascii="Times New Roman" w:cs="Times New Roman" w:eastAsia="Times New Roman" w:hAnsi="Times New Roman"/>
          <w:sz w:val="17"/>
          <w:szCs w:val="17"/>
          <w:color w:val="auto"/>
        </w:rPr>
      </w:pPr>
    </w:p>
    <w:p>
      <w:pPr>
        <w:jc w:val="both"/>
        <w:ind w:firstLine="423"/>
        <w:spacing w:after="0" w:line="260" w:lineRule="auto"/>
        <w:tabs>
          <w:tab w:leader="none" w:pos="667"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xml:space="preserve">. In addition, without limiting the effect of </w:t>
      </w:r>
      <w:r>
        <w:rPr>
          <w:rFonts w:ascii="Times New Roman" w:cs="Times New Roman" w:eastAsia="Times New Roman" w:hAnsi="Times New Roman"/>
          <w:sz w:val="17"/>
          <w:szCs w:val="17"/>
          <w:u w:val="single" w:color="auto"/>
          <w:color w:val="auto"/>
        </w:rPr>
        <w:t>Section 10(a)</w:t>
      </w:r>
      <w:r>
        <w:rPr>
          <w:rFonts w:ascii="Times New Roman" w:cs="Times New Roman" w:eastAsia="Times New Roman" w:hAnsi="Times New Roman"/>
          <w:sz w:val="17"/>
          <w:szCs w:val="17"/>
          <w:color w:val="auto"/>
        </w:rPr>
        <w:t>, in the event of a Change in Control, the Committee’s discretion shall include but shall not be limited to the authority to provide for any of, or a combination of any of, the following: (i) each Purchase Right shall be assumed or an equivalent purchase right shall be substituted by the successor entity or parent or subsidiary of such successor entity; (ii) a date selected by the Committee on or before the date of consummation of such Change in Control shall be treated as a Purchase Date and all outstanding Purchase Rights shall be exercised on such date; (iii) all outstanding Purchase Rights shall terminate and the accumulated Contributions will be refunded to each Participant upon or prior to the Change in Control (without interest, unless otherwise required by Applicable Law); or (iv) outstanding Purchase Rights shall continue unchanged.</w:t>
      </w:r>
    </w:p>
    <w:p>
      <w:pPr>
        <w:spacing w:after="0" w:line="315"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Stockholder Approval of Plan</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firstLine="422"/>
        <w:spacing w:after="0" w:line="273" w:lineRule="auto"/>
        <w:rPr>
          <w:sz w:val="20"/>
          <w:szCs w:val="20"/>
          <w:color w:val="auto"/>
        </w:rPr>
      </w:pPr>
      <w:r>
        <w:rPr>
          <w:rFonts w:ascii="Times New Roman" w:cs="Times New Roman" w:eastAsia="Times New Roman" w:hAnsi="Times New Roman"/>
          <w:sz w:val="17"/>
          <w:szCs w:val="17"/>
          <w:color w:val="auto"/>
        </w:rPr>
        <w:t>The Plan is subject to the approval by the stockholders of the Company, which approval shall be obtained within 12 months before or after the date of adoption of the Plan by the Board. Amendments to the Plan shall be subject to stockholder approval to the extent, if any, as may be required by Code Section 423 or other Applicable Law.</w:t>
      </w:r>
    </w:p>
    <w:p>
      <w:pPr>
        <w:spacing w:after="0" w:line="302" w:lineRule="exact"/>
        <w:rPr>
          <w:sz w:val="20"/>
          <w:szCs w:val="20"/>
          <w:color w:val="auto"/>
        </w:rPr>
      </w:pPr>
    </w:p>
    <w:p>
      <w:pPr>
        <w:ind w:left="420" w:right="6700" w:hanging="420"/>
        <w:spacing w:after="0" w:line="382" w:lineRule="auto"/>
        <w:tabs>
          <w:tab w:leader="none" w:pos="412"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Limitations on Purchase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provisions of the Plan:</w:t>
      </w:r>
    </w:p>
    <w:p>
      <w:pPr>
        <w:spacing w:after="0" w:line="1" w:lineRule="exact"/>
        <w:rPr>
          <w:rFonts w:ascii="Times New Roman" w:cs="Times New Roman" w:eastAsia="Times New Roman" w:hAnsi="Times New Roman"/>
          <w:sz w:val="17"/>
          <w:szCs w:val="17"/>
          <w:b w:val="1"/>
          <w:bCs w:val="1"/>
          <w:color w:val="auto"/>
        </w:rPr>
      </w:pPr>
    </w:p>
    <w:p>
      <w:pPr>
        <w:jc w:val="both"/>
        <w:ind w:firstLine="423"/>
        <w:spacing w:after="0" w:line="266" w:lineRule="auto"/>
        <w:tabs>
          <w:tab w:leader="none" w:pos="663"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Employee shall be granted a Purchase Right under the Plan which permits an Employee rights to purchase stock under all employee stock purchase plans (as defined in Code Section 423) of the Company and any Related Corporation to accrue at a rate which exceeds $25,000 of Fair Market Value of such stock (determined at the time of the grant of such Purchase Right) for each calendar year in which such Purchase Right is outstanding at any time in the case of a Section 423 Offering. Any Purchase Right shall be deemed to be modified to the extent necessary to satisfy this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560"/>
          </w:cols>
          <w:pgMar w:left="660" w:top="262" w:right="679" w:bottom="1440" w:gutter="0" w:footer="0" w:header="0"/>
        </w:sectPr>
      </w:pPr>
    </w:p>
    <w:bookmarkStart w:id="48" w:name="page49"/>
    <w:bookmarkEnd w:id="48"/>
    <w:p>
      <w:pPr>
        <w:jc w:val="both"/>
        <w:ind w:firstLine="423"/>
        <w:spacing w:after="0" w:line="263" w:lineRule="auto"/>
        <w:tabs>
          <w:tab w:leader="none" w:pos="67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9945" cy="37465"/>
                    </a:xfrm>
                    <a:prstGeom prst="rect">
                      <a:avLst/>
                    </a:prstGeom>
                    <a:noFill/>
                  </pic:spPr>
                </pic:pic>
              </a:graphicData>
            </a:graphic>
          </wp:anchor>
        </w:drawing>
        <w:t>In accordance with Code Section 423, all Employees granted Purchase Rights under the Plan who are participating in a Section 423 Offering shall have the same rights and privileges under the Plan, except that the amount of Common Stock which may be purchased by any Employee under Purchase Rights granted pursuant to the Plan shall bear a uniform relationship to the total compensation (or the basic or regular rate of compensation) of all Employees. All rules and determinations of the Committee in the administration of the Plan shall be uniformly and consistently applied to all persons in similar circumstances.</w:t>
      </w:r>
    </w:p>
    <w:p>
      <w:pPr>
        <w:spacing w:after="0" w:line="312"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 and Termination of the Plan and Purchase Rights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73" w:lineRule="auto"/>
        <w:tabs>
          <w:tab w:leader="none" w:pos="65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Plan</w:t>
      </w:r>
      <w:r>
        <w:rPr>
          <w:rFonts w:ascii="Times New Roman" w:cs="Times New Roman" w:eastAsia="Times New Roman" w:hAnsi="Times New Roman"/>
          <w:sz w:val="17"/>
          <w:szCs w:val="17"/>
          <w:color w:val="auto"/>
        </w:rPr>
        <w:t xml:space="preserve">. The Plan may be amended, altered, suspended and/or terminated at any time by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an amendment to the Plan by the stockholders of the Company shall be required to the extent, if any, that stockholder approval of such amendment is required by Applicable Law.</w:t>
      </w:r>
    </w:p>
    <w:p>
      <w:pPr>
        <w:spacing w:after="0" w:line="161" w:lineRule="exact"/>
        <w:rPr>
          <w:rFonts w:ascii="Times New Roman" w:cs="Times New Roman" w:eastAsia="Times New Roman" w:hAnsi="Times New Roman"/>
          <w:sz w:val="17"/>
          <w:szCs w:val="17"/>
          <w:color w:val="auto"/>
        </w:rPr>
      </w:pPr>
    </w:p>
    <w:p>
      <w:pPr>
        <w:jc w:val="both"/>
        <w:ind w:firstLine="423"/>
        <w:spacing w:after="0" w:line="266" w:lineRule="auto"/>
        <w:tabs>
          <w:tab w:leader="none" w:pos="69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Purchase Rights</w:t>
      </w:r>
      <w:r>
        <w:rPr>
          <w:rFonts w:ascii="Times New Roman" w:cs="Times New Roman" w:eastAsia="Times New Roman" w:hAnsi="Times New Roman"/>
          <w:sz w:val="17"/>
          <w:szCs w:val="17"/>
          <w:color w:val="auto"/>
        </w:rPr>
        <w:t xml:space="preserve">. The Committee may (subject to the provisions of Code Section 423 (for Section 423 Offerings) and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amend, alter, suspend and/or terminate any Purchase Right, prospectively or retroactively, but (except as otherwise expressly provided in the Plan) such amendment, alteration, suspension or termination of a Purchase Right shall not, without the written consent of a Participant with respect to an outstanding Purchase Right, materially adversely affect the rights of the Participant with respect to the Purchase Right.</w:t>
      </w:r>
    </w:p>
    <w:p>
      <w:pPr>
        <w:spacing w:after="0" w:line="169" w:lineRule="exact"/>
        <w:rPr>
          <w:rFonts w:ascii="Times New Roman" w:cs="Times New Roman" w:eastAsia="Times New Roman" w:hAnsi="Times New Roman"/>
          <w:sz w:val="17"/>
          <w:szCs w:val="17"/>
          <w:color w:val="auto"/>
        </w:rPr>
      </w:pPr>
    </w:p>
    <w:p>
      <w:pPr>
        <w:ind w:left="660" w:hanging="237"/>
        <w:spacing w:after="0"/>
        <w:tabs>
          <w:tab w:leader="none" w:pos="66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to Comply with Applicable Law</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13(a)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13(b)</w:t>
      </w:r>
      <w:r>
        <w:rPr>
          <w:rFonts w:ascii="Times New Roman" w:cs="Times New Roman" w:eastAsia="Times New Roman" w:hAnsi="Times New Roman"/>
          <w:sz w:val="17"/>
          <w:szCs w:val="17"/>
          <w:color w:val="auto"/>
        </w:rPr>
        <w:t>, the following provisions shall apply:</w:t>
      </w:r>
    </w:p>
    <w:p>
      <w:pPr>
        <w:spacing w:after="0" w:line="115" w:lineRule="exact"/>
        <w:rPr>
          <w:rFonts w:ascii="Times New Roman" w:cs="Times New Roman" w:eastAsia="Times New Roman" w:hAnsi="Times New Roman"/>
          <w:sz w:val="17"/>
          <w:szCs w:val="17"/>
          <w:color w:val="auto"/>
        </w:rPr>
      </w:pPr>
    </w:p>
    <w:p>
      <w:pPr>
        <w:ind w:left="420" w:firstLine="409"/>
        <w:spacing w:after="0" w:line="291" w:lineRule="auto"/>
        <w:tabs>
          <w:tab w:leader="none" w:pos="1043"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unilateral authority, subject to the provisions of Code Section 423 (for Section 423 Offerings), to amend the Plan and any Purchase Right (without Participant consent) to the extent necessary to comply with Applicable Law or changes to Applicable Law.</w:t>
      </w:r>
    </w:p>
    <w:p>
      <w:pPr>
        <w:spacing w:after="0" w:line="43" w:lineRule="exact"/>
        <w:rPr>
          <w:rFonts w:ascii="Times New Roman" w:cs="Times New Roman" w:eastAsia="Times New Roman" w:hAnsi="Times New Roman"/>
          <w:sz w:val="17"/>
          <w:szCs w:val="17"/>
          <w:color w:val="auto"/>
        </w:rPr>
      </w:pPr>
    </w:p>
    <w:p>
      <w:pPr>
        <w:jc w:val="both"/>
        <w:ind w:left="420" w:firstLine="409"/>
        <w:spacing w:after="0" w:line="263" w:lineRule="auto"/>
        <w:tabs>
          <w:tab w:leader="none" w:pos="1099" w:val="left"/>
        </w:tabs>
        <w:numPr>
          <w:ilvl w:val="2"/>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unilateral authority to make adjustments to the terms and conditions of Purchase Rights in recognition of unusual or nonrecurring events affecting the Company or any Related Corporation, or the financial statements of the Company or any Related Corporation, or of changes in Applicable Law, or accounting principles, if the Committee determines that such adjustments are appropriate in order to prevent dilution or enlargement of the benefits or potential benefits intended to be made available under the Plan or necessary or appropriate to comply with applicable accounting principles or Applicable Law.</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560"/>
          </w:cols>
          <w:pgMar w:left="660" w:top="264" w:right="679" w:bottom="1440" w:gutter="0" w:footer="0" w:header="0"/>
        </w:sectPr>
      </w:pPr>
    </w:p>
    <w:bookmarkStart w:id="49" w:name="page50"/>
    <w:bookmarkEnd w:id="49"/>
    <w:p>
      <w:pPr>
        <w:ind w:left="420" w:hanging="420"/>
        <w:spacing w:after="0"/>
        <w:tabs>
          <w:tab w:leader="none" w:pos="42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9945" cy="37465"/>
                    </a:xfrm>
                    <a:prstGeom prst="rect">
                      <a:avLst/>
                    </a:prstGeom>
                    <a:noFill/>
                  </pic:spPr>
                </pic:pic>
              </a:graphicData>
            </a:graphic>
          </wp:anchor>
        </w:drawing>
        <w:t>Designation of Beneficiary</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firstLine="422"/>
        <w:spacing w:after="0" w:line="261" w:lineRule="auto"/>
        <w:rPr>
          <w:sz w:val="20"/>
          <w:szCs w:val="20"/>
          <w:color w:val="auto"/>
        </w:rPr>
      </w:pPr>
      <w:r>
        <w:rPr>
          <w:rFonts w:ascii="Times New Roman" w:cs="Times New Roman" w:eastAsia="Times New Roman" w:hAnsi="Times New Roman"/>
          <w:sz w:val="17"/>
          <w:szCs w:val="17"/>
          <w:color w:val="auto"/>
        </w:rPr>
        <w:t>The Committee, in its discretion, may authorize a Participant to designate in writing a person or persons as such Participant’s beneficiary, which beneficiary shall, in the event of such Participant’s death, be entitled to the rights, if any, to which the Participant would otherwise be entitled. The Committee shall have discretion to approve the form or forms of such beneficiary designations, to determine whether such beneficiary designations will be accepted, and to interpret such beneficiary designations. If a deceased Participant failed to designate a beneficiary, or if the designated beneficiary does not survive such Participant, any rights that would have been exercisable by the Participant and any benefits distributable to such Participant shall be exercised by or distributed to the legal representative of the estate of such Participant, unless otherwise determined by the Committee.</w:t>
      </w:r>
    </w:p>
    <w:p>
      <w:pPr>
        <w:spacing w:after="0" w:line="315" w:lineRule="exact"/>
        <w:rPr>
          <w:sz w:val="20"/>
          <w:szCs w:val="20"/>
          <w:color w:val="auto"/>
        </w:rPr>
      </w:pPr>
    </w:p>
    <w:p>
      <w:pPr>
        <w:ind w:left="420" w:hanging="420"/>
        <w:spacing w:after="0"/>
        <w:tabs>
          <w:tab w:leader="none" w:pos="42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b w:val="1"/>
          <w:bCs w:val="1"/>
          <w:color w:val="auto"/>
        </w:rPr>
        <w:t>.</w:t>
      </w:r>
    </w:p>
    <w:p>
      <w:pPr>
        <w:spacing w:after="0" w:line="117" w:lineRule="exact"/>
        <w:rPr>
          <w:rFonts w:ascii="Times New Roman" w:cs="Times New Roman" w:eastAsia="Times New Roman" w:hAnsi="Times New Roman"/>
          <w:sz w:val="17"/>
          <w:szCs w:val="17"/>
          <w:b w:val="1"/>
          <w:bCs w:val="1"/>
          <w:color w:val="auto"/>
        </w:rPr>
      </w:pPr>
    </w:p>
    <w:p>
      <w:pPr>
        <w:jc w:val="both"/>
        <w:ind w:firstLine="423"/>
        <w:spacing w:after="0" w:line="258" w:lineRule="auto"/>
        <w:tabs>
          <w:tab w:leader="none" w:pos="67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Applicable Law</w:t>
      </w:r>
      <w:r>
        <w:rPr>
          <w:rFonts w:ascii="Times New Roman" w:cs="Times New Roman" w:eastAsia="Times New Roman" w:hAnsi="Times New Roman"/>
          <w:sz w:val="17"/>
          <w:szCs w:val="17"/>
          <w:color w:val="auto"/>
        </w:rPr>
        <w:t>. The Company may impose such restrictions on Purchase Rights, shares of Common Stock and any other benefits underlying Purchase Rights hereunder as it may deem advisable, including without limitation restrictions under the federal securities laws, the requirements of any stock exchange or similar organization and any blue sky, state or foreign securities or other Applicable Law. Notwithstanding any other Plan provision to the contrary, the Company shall not be obligated to issue, deliver or transfer shares of Common Stock under the Plan or take any other action, unless such delivery or action is in compliance with Applicable Law (including but not limited to the requirements of the Securities Act). The Company will be under no obligation to register shares of Common Stock or other securities with the Securities and Exchange Commission or to effect compliance with the exemption, registration, qualification or listing requirements of any state securities laws, stock exchange or similar organization, and the Company will have no liability for any inability or failure to do so. The Company may cause a restrictive legend or legends to be placed on any certificate issued pursuant to a Purchase Right hereunder in such form as may be prescribed from time to time by Applicable Law or as may be advised by legal counsel.</w:t>
      </w:r>
    </w:p>
    <w:p>
      <w:pPr>
        <w:spacing w:after="0" w:line="177" w:lineRule="exact"/>
        <w:rPr>
          <w:rFonts w:ascii="Times New Roman" w:cs="Times New Roman" w:eastAsia="Times New Roman" w:hAnsi="Times New Roman"/>
          <w:sz w:val="17"/>
          <w:szCs w:val="17"/>
          <w:color w:val="auto"/>
        </w:rPr>
      </w:pPr>
    </w:p>
    <w:p>
      <w:pPr>
        <w:ind w:firstLine="423"/>
        <w:spacing w:after="0" w:line="291" w:lineRule="auto"/>
        <w:tabs>
          <w:tab w:leader="none" w:pos="68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Exercise Purchase Rights</w:t>
      </w:r>
      <w:r>
        <w:rPr>
          <w:rFonts w:ascii="Times New Roman" w:cs="Times New Roman" w:eastAsia="Times New Roman" w:hAnsi="Times New Roman"/>
          <w:sz w:val="17"/>
          <w:szCs w:val="17"/>
          <w:color w:val="auto"/>
        </w:rPr>
        <w:t>. The grant of a Purchase Right shall impose no obligation upon a Participant to exercise such Purchase Right.</w:t>
      </w:r>
    </w:p>
    <w:p>
      <w:pPr>
        <w:spacing w:after="0" w:line="147" w:lineRule="exact"/>
        <w:rPr>
          <w:rFonts w:ascii="Times New Roman" w:cs="Times New Roman" w:eastAsia="Times New Roman" w:hAnsi="Times New Roman"/>
          <w:sz w:val="17"/>
          <w:szCs w:val="17"/>
          <w:color w:val="auto"/>
        </w:rPr>
      </w:pPr>
    </w:p>
    <w:p>
      <w:pPr>
        <w:ind w:firstLine="423"/>
        <w:spacing w:after="0" w:line="291" w:lineRule="auto"/>
        <w:tabs>
          <w:tab w:leader="none" w:pos="657"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Funds</w:t>
      </w:r>
      <w:r>
        <w:rPr>
          <w:rFonts w:ascii="Times New Roman" w:cs="Times New Roman" w:eastAsia="Times New Roman" w:hAnsi="Times New Roman"/>
          <w:sz w:val="17"/>
          <w:szCs w:val="17"/>
          <w:color w:val="auto"/>
        </w:rPr>
        <w:t>. The proceeds received by the Company from the sale of Common Stock pursuant to Purchase Rights will be used for general corporate purposes.</w:t>
      </w:r>
    </w:p>
    <w:p>
      <w:pPr>
        <w:spacing w:after="0" w:line="147" w:lineRule="exact"/>
        <w:rPr>
          <w:rFonts w:ascii="Times New Roman" w:cs="Times New Roman" w:eastAsia="Times New Roman" w:hAnsi="Times New Roman"/>
          <w:sz w:val="17"/>
          <w:szCs w:val="17"/>
          <w:color w:val="auto"/>
        </w:rPr>
      </w:pPr>
    </w:p>
    <w:p>
      <w:pPr>
        <w:jc w:val="both"/>
        <w:ind w:firstLine="423"/>
        <w:spacing w:after="0" w:line="265" w:lineRule="auto"/>
        <w:tabs>
          <w:tab w:leader="none" w:pos="693"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At any time a Participant incurs a taxable event as a result of the Participant’s participation in the Plan, a Participant must make adequate provision for any Tax-Related Items. Participants are solely responsible and liable for the satisfaction of all Tax-Related Items, and the Company shall not have any obligation to indemnify or otherwise hold any Participant harmless from any or all of such Tax-Related Items. The Company shall have no responsibility to take or refrain from taking any actions in order to achieve a certain tax result for a Participant or any other person.</w:t>
      </w:r>
    </w:p>
    <w:p>
      <w:pPr>
        <w:spacing w:after="0" w:line="380" w:lineRule="exact"/>
        <w:rPr>
          <w:sz w:val="20"/>
          <w:szCs w:val="20"/>
          <w:color w:val="auto"/>
        </w:rPr>
      </w:pPr>
    </w:p>
    <w:p>
      <w:pPr>
        <w:jc w:val="both"/>
        <w:ind w:firstLine="422"/>
        <w:spacing w:after="0" w:line="261" w:lineRule="auto"/>
        <w:rPr>
          <w:sz w:val="20"/>
          <w:szCs w:val="20"/>
          <w:color w:val="auto"/>
        </w:rPr>
      </w:pPr>
      <w:r>
        <w:rPr>
          <w:rFonts w:ascii="Times New Roman" w:cs="Times New Roman" w:eastAsia="Times New Roman" w:hAnsi="Times New Roman"/>
          <w:sz w:val="17"/>
          <w:szCs w:val="17"/>
          <w:color w:val="auto"/>
        </w:rPr>
        <w:t>In their sole discretion, the Company or, as applicable, the Designated Company that employs the Participant, may, unless the Committee determines otherwise, satisfy their obligations to withhold Tax-Related Items by (i) withholding from the Participant’s compensation, (ii) repurchasing a sufficient whole number of shares of Common Stock issued following exercise having an aggregate Fair Market Value sufficient to pay the Tax-Related Items required to be withheld with respect to the shares of Common Stock, (iii) withholding from proceeds from the sale of shares of Common Stock issued upon exercise, either through a voluntary sale or a mandatory sale arranged by the Company, or (iv) any other method deemed acceptable by the Committee.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0560"/>
          </w:cols>
          <w:pgMar w:left="660" w:top="262" w:right="679" w:bottom="1440" w:gutter="0" w:footer="0" w:header="0"/>
        </w:sectPr>
      </w:pPr>
    </w:p>
    <w:bookmarkStart w:id="50" w:name="page51"/>
    <w:bookmarkEnd w:id="50"/>
    <w:p>
      <w:pPr>
        <w:jc w:val="both"/>
        <w:ind w:firstLine="423"/>
        <w:spacing w:after="0" w:line="266" w:lineRule="auto"/>
        <w:tabs>
          <w:tab w:leader="none" w:pos="65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Right to Terminate Employment</w:t>
      </w:r>
      <w:r>
        <w:rPr>
          <w:rFonts w:ascii="Times New Roman" w:cs="Times New Roman" w:eastAsia="Times New Roman" w:hAnsi="Times New Roman"/>
          <w:sz w:val="17"/>
          <w:szCs w:val="17"/>
          <w:color w:val="auto"/>
        </w:rPr>
        <w:t>. Nothing in the Plan, a Purchase Right or any agreement or instrument related to the Plan shall confer upon an Employee the right to continue in the employment of the Company, any Related Corporation or Affiliate or affect any right which the Company, any Related Corporation or Affiliate may have to terminate the employment of such Employee. Except as otherwise provided in the Plan or under Applicable Law, all rights of a Participant with respect to Purchase Rights granted hereunder shall terminate upon the termination of employment of the Participant.</w:t>
      </w:r>
    </w:p>
    <w:p>
      <w:pPr>
        <w:spacing w:after="0" w:line="169" w:lineRule="exact"/>
        <w:rPr>
          <w:rFonts w:ascii="Times New Roman" w:cs="Times New Roman" w:eastAsia="Times New Roman" w:hAnsi="Times New Roman"/>
          <w:sz w:val="17"/>
          <w:szCs w:val="17"/>
          <w:color w:val="auto"/>
        </w:rPr>
      </w:pPr>
    </w:p>
    <w:p>
      <w:pPr>
        <w:ind w:firstLine="423"/>
        <w:spacing w:after="0" w:line="291" w:lineRule="auto"/>
        <w:tabs>
          <w:tab w:leader="none" w:pos="66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No Participant or other person shall have any rights as a stockholder unless and until certificates for shares of Common Stock are issued to the Participant or such shares are credited to the Participant’s account on the records of the Company or a designee.</w:t>
      </w:r>
    </w:p>
    <w:p>
      <w:pPr>
        <w:spacing w:after="0" w:line="147" w:lineRule="exact"/>
        <w:rPr>
          <w:rFonts w:ascii="Times New Roman" w:cs="Times New Roman" w:eastAsia="Times New Roman" w:hAnsi="Times New Roman"/>
          <w:sz w:val="17"/>
          <w:szCs w:val="17"/>
          <w:color w:val="auto"/>
        </w:rPr>
      </w:pPr>
    </w:p>
    <w:p>
      <w:pPr>
        <w:jc w:val="both"/>
        <w:ind w:firstLine="423"/>
        <w:spacing w:after="0" w:line="273" w:lineRule="auto"/>
        <w:tabs>
          <w:tab w:leader="none" w:pos="66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61" w:lineRule="exact"/>
        <w:rPr>
          <w:rFonts w:ascii="Times New Roman" w:cs="Times New Roman" w:eastAsia="Times New Roman" w:hAnsi="Times New Roman"/>
          <w:sz w:val="17"/>
          <w:szCs w:val="17"/>
          <w:color w:val="auto"/>
        </w:rPr>
      </w:pPr>
    </w:p>
    <w:p>
      <w:pPr>
        <w:jc w:val="both"/>
        <w:ind w:firstLine="423"/>
        <w:spacing w:after="0" w:line="273" w:lineRule="auto"/>
        <w:tabs>
          <w:tab w:leader="none" w:pos="6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pertaining to the validity, construction and administration of the Plan and Purchase Rights granted hereunder shall be determined in conformity with the laws of the State of Delaware, without regard to the principles of conflicts of laws, to the extent not inconsistent with Code Section 423 (for Section 423 Offerings) or other applicable federal laws of the United States.</w:t>
      </w:r>
    </w:p>
    <w:p>
      <w:pPr>
        <w:spacing w:after="0" w:line="161" w:lineRule="exact"/>
        <w:rPr>
          <w:rFonts w:ascii="Times New Roman" w:cs="Times New Roman" w:eastAsia="Times New Roman" w:hAnsi="Times New Roman"/>
          <w:sz w:val="17"/>
          <w:szCs w:val="17"/>
          <w:color w:val="auto"/>
        </w:rPr>
      </w:pPr>
    </w:p>
    <w:p>
      <w:pPr>
        <w:jc w:val="both"/>
        <w:ind w:firstLine="423"/>
        <w:spacing w:after="0" w:line="273" w:lineRule="auto"/>
        <w:tabs>
          <w:tab w:leader="none" w:pos="64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Elimination of Fractional Shares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7(c)</w:t>
      </w:r>
      <w:r>
        <w:rPr>
          <w:rFonts w:ascii="Times New Roman" w:cs="Times New Roman" w:eastAsia="Times New Roman" w:hAnsi="Times New Roman"/>
          <w:sz w:val="17"/>
          <w:szCs w:val="17"/>
          <w:color w:val="auto"/>
        </w:rPr>
        <w:t>, if under any provision of the Plan which requires a computation of the number of shares of Common Stock subject to a Purchase Right, the number so computed is not a whole number of shares of Common Stock, such number of shares of Common Stock shall be rounded down to the next whole number.</w:t>
      </w:r>
    </w:p>
    <w:p>
      <w:pPr>
        <w:spacing w:after="0" w:line="161" w:lineRule="exact"/>
        <w:rPr>
          <w:rFonts w:ascii="Times New Roman" w:cs="Times New Roman" w:eastAsia="Times New Roman" w:hAnsi="Times New Roman"/>
          <w:sz w:val="17"/>
          <w:szCs w:val="17"/>
          <w:color w:val="auto"/>
        </w:rPr>
      </w:pPr>
    </w:p>
    <w:p>
      <w:pPr>
        <w:ind w:firstLine="423"/>
        <w:spacing w:after="0" w:line="291" w:lineRule="auto"/>
        <w:tabs>
          <w:tab w:leader="none" w:pos="65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the Plan shall be held illegal or invalid for any reason, such illegality or invalidity shall not affect the remaining parts of the Plan, and the Plan shall be construed and enforced as if the illegal or invalid provision had not been included.</w:t>
      </w:r>
    </w:p>
    <w:p>
      <w:pPr>
        <w:spacing w:after="0" w:line="147" w:lineRule="exact"/>
        <w:rPr>
          <w:rFonts w:ascii="Times New Roman" w:cs="Times New Roman" w:eastAsia="Times New Roman" w:hAnsi="Times New Roman"/>
          <w:sz w:val="17"/>
          <w:szCs w:val="17"/>
          <w:color w:val="auto"/>
        </w:rPr>
      </w:pPr>
    </w:p>
    <w:p>
      <w:pPr>
        <w:ind w:firstLine="423"/>
        <w:spacing w:after="0" w:line="291" w:lineRule="auto"/>
        <w:tabs>
          <w:tab w:leader="none" w:pos="6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Gender and Number</w:t>
      </w:r>
      <w:r>
        <w:rPr>
          <w:rFonts w:ascii="Times New Roman" w:cs="Times New Roman" w:eastAsia="Times New Roman" w:hAnsi="Times New Roman"/>
          <w:sz w:val="17"/>
          <w:szCs w:val="17"/>
          <w:color w:val="auto"/>
        </w:rPr>
        <w:t>. Except where otherwise indicated by the context, words in any gender shall include any other gender, words in the singular shall include the plural and words in the plural shall include the singular.</w:t>
      </w:r>
    </w:p>
    <w:p>
      <w:pPr>
        <w:spacing w:after="0" w:line="147" w:lineRule="exact"/>
        <w:rPr>
          <w:rFonts w:ascii="Times New Roman" w:cs="Times New Roman" w:eastAsia="Times New Roman" w:hAnsi="Times New Roman"/>
          <w:sz w:val="17"/>
          <w:szCs w:val="17"/>
          <w:color w:val="auto"/>
        </w:rPr>
      </w:pPr>
    </w:p>
    <w:p>
      <w:pPr>
        <w:ind w:left="620" w:hanging="197"/>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 Headings are given to the sections of the Plan solely as a convenience to facilitate reference.</w:t>
      </w:r>
    </w:p>
    <w:p>
      <w:pPr>
        <w:spacing w:after="0" w:line="218" w:lineRule="exact"/>
        <w:rPr>
          <w:rFonts w:ascii="Times New Roman" w:cs="Times New Roman" w:eastAsia="Times New Roman" w:hAnsi="Times New Roman"/>
          <w:sz w:val="17"/>
          <w:szCs w:val="17"/>
          <w:color w:val="auto"/>
        </w:rPr>
      </w:pPr>
    </w:p>
    <w:p>
      <w:pPr>
        <w:ind w:firstLine="423"/>
        <w:spacing w:after="0" w:line="291" w:lineRule="auto"/>
        <w:tabs>
          <w:tab w:leader="none" w:pos="753"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Plan shall be binding upon the Company, its successors and assigns, and Participants, their executors, administrators and permitted transferees and beneficiaries.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560"/>
          </w:cols>
          <w:pgMar w:left="660" w:top="264" w:right="679" w:bottom="1440" w:gutter="0" w:footer="0" w:header="0"/>
        </w:sectPr>
      </w:pPr>
    </w:p>
    <w:bookmarkStart w:id="51" w:name="page52"/>
    <w:bookmarkEnd w:id="51"/>
    <w:p>
      <w:pPr>
        <w:jc w:val="both"/>
        <w:ind w:firstLine="423"/>
        <w:spacing w:after="0" w:line="266" w:lineRule="auto"/>
        <w:tabs>
          <w:tab w:leader="none" w:pos="66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Purchase Right Documentation</w:t>
      </w:r>
      <w:r>
        <w:rPr>
          <w:rFonts w:ascii="Times New Roman" w:cs="Times New Roman" w:eastAsia="Times New Roman" w:hAnsi="Times New Roman"/>
          <w:sz w:val="17"/>
          <w:szCs w:val="17"/>
          <w:color w:val="auto"/>
        </w:rPr>
        <w:t>. The grant of any Purchase Right under the Plan shall be evidenced by such documentation, if any, as may be determined by the Committee or its designee. Such documentation may state terms, conditions and restrictions applicable to the Purchase Right and may state such other terms, conditions and restrictions, including but not limited to terms, conditions and restrictions applicable to shares of Common Stock or other benefits subject to a Purchase Right, as may be established by the Committee.</w:t>
      </w:r>
    </w:p>
    <w:p>
      <w:pPr>
        <w:spacing w:after="0" w:line="169" w:lineRule="exact"/>
        <w:rPr>
          <w:rFonts w:ascii="Times New Roman" w:cs="Times New Roman" w:eastAsia="Times New Roman" w:hAnsi="Times New Roman"/>
          <w:sz w:val="17"/>
          <w:szCs w:val="17"/>
          <w:color w:val="auto"/>
        </w:rPr>
      </w:pPr>
    </w:p>
    <w:p>
      <w:pPr>
        <w:jc w:val="both"/>
        <w:ind w:firstLine="423"/>
        <w:spacing w:after="0" w:line="273" w:lineRule="auto"/>
        <w:tabs>
          <w:tab w:leader="none" w:pos="66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Uncertificated Shares</w:t>
      </w:r>
      <w:r>
        <w:rPr>
          <w:rFonts w:ascii="Times New Roman" w:cs="Times New Roman" w:eastAsia="Times New Roman" w:hAnsi="Times New Roman"/>
          <w:sz w:val="17"/>
          <w:szCs w:val="17"/>
          <w:color w:val="auto"/>
        </w:rPr>
        <w:t>. Notwithstanding anything in the Plan to the contrary, to the extent the Plan provides for the issuance of stock certificates to reflect the issuance of shares of Common Stock, the issuance may, in the Company’s discretion, be effected on a non-certificated basis, to the extent not prohibited by the Company’s certificate of incorporation or bylaws or by Applicable Law.</w:t>
      </w:r>
    </w:p>
    <w:p>
      <w:pPr>
        <w:spacing w:after="0" w:line="161" w:lineRule="exact"/>
        <w:rPr>
          <w:rFonts w:ascii="Times New Roman" w:cs="Times New Roman" w:eastAsia="Times New Roman" w:hAnsi="Times New Roman"/>
          <w:sz w:val="17"/>
          <w:szCs w:val="17"/>
          <w:color w:val="auto"/>
        </w:rPr>
      </w:pPr>
    </w:p>
    <w:p>
      <w:pPr>
        <w:jc w:val="both"/>
        <w:ind w:firstLine="423"/>
        <w:spacing w:after="0" w:line="256" w:lineRule="auto"/>
        <w:tabs>
          <w:tab w:leader="none" w:pos="667"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Recoupment, Ownership and Other Policies or Agreements</w:t>
      </w:r>
      <w:r>
        <w:rPr>
          <w:rFonts w:ascii="Times New Roman" w:cs="Times New Roman" w:eastAsia="Times New Roman" w:hAnsi="Times New Roman"/>
          <w:sz w:val="17"/>
          <w:szCs w:val="17"/>
          <w:color w:val="auto"/>
        </w:rPr>
        <w:t>. Notwithstanding anything in the Plan to the contrary and subject to the provisions of Code Section 423 (for Section 423 Offerings), the Committee may, at any time (during or following termination of employment or service for any reason), determine that a Participant’s rights, payments and/or benefits with respect to a Purchase Right (including but not limited to any shares issued or issuable with respect to a Purchase Right) shall be subject to reduction, cancellation, forfeiture or recoupment upon the occurrence of certain specified events, in addition to any other conditions applicable to a Purchase Right. Such events may include, but shall not be limited to, termination of employment for cause, violation of policies of the Company or a Related Corporation or Affiliate, breach of non-solicitation, non-competition, confidentiality, non-disparagement or other covenants, other conduct by the Participant that is determined by the Committee to be detrimental to the business or reputation of the Company, any Related Corporation or Affiliate, and/or other circumstances where such reduction, cancellation, forfeiture or recoupment is required by Applicable Law. In addition, without limiting the effect of the foregoing, as a condition to the grant of a Purchase Right or receipt or retention of shares of Common Stock, cash or any other benefit under the Plan, (i) the Committee may, at any time, require that a Participant comply with any compensation recovery (or “clawback”), stock ownership, stock retention or other policies or guidelines adopted by the Company, a Related Corporation or Affiliate, each as in effect from time to time and to the extent applicable to the Participant, and</w:t>
      </w:r>
    </w:p>
    <w:p>
      <w:pPr>
        <w:spacing w:after="0" w:line="2" w:lineRule="exact"/>
        <w:rPr>
          <w:rFonts w:ascii="Times New Roman" w:cs="Times New Roman" w:eastAsia="Times New Roman" w:hAnsi="Times New Roman"/>
          <w:sz w:val="17"/>
          <w:szCs w:val="17"/>
          <w:color w:val="auto"/>
        </w:rPr>
      </w:pPr>
    </w:p>
    <w:p>
      <w:pPr>
        <w:spacing w:after="0" w:line="268" w:lineRule="auto"/>
        <w:tabs>
          <w:tab w:leader="none" w:pos="26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Participant shall be subject to such compensation recovery, recoupment, forfeiture or other similar provisions as may apply under Applicable Law.</w:t>
      </w:r>
    </w:p>
    <w:p>
      <w:pPr>
        <w:spacing w:after="0" w:line="166" w:lineRule="exact"/>
        <w:rPr>
          <w:rFonts w:ascii="Times New Roman" w:cs="Times New Roman" w:eastAsia="Times New Roman" w:hAnsi="Times New Roman"/>
          <w:sz w:val="17"/>
          <w:szCs w:val="17"/>
          <w:color w:val="auto"/>
        </w:rPr>
      </w:pPr>
    </w:p>
    <w:p>
      <w:pPr>
        <w:ind w:firstLine="423"/>
        <w:spacing w:after="0" w:line="291" w:lineRule="auto"/>
        <w:tabs>
          <w:tab w:leader="none" w:pos="66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Controls</w:t>
      </w:r>
      <w:r>
        <w:rPr>
          <w:rFonts w:ascii="Times New Roman" w:cs="Times New Roman" w:eastAsia="Times New Roman" w:hAnsi="Times New Roman"/>
          <w:sz w:val="17"/>
          <w:szCs w:val="17"/>
          <w:color w:val="auto"/>
        </w:rPr>
        <w:t>. Unless the Committee determines otherwise, in the event of a conflict between any term or provision contained in the Plan and an express term contained in any documentation related to the Plan, the applicable terms and provisions of the Plan will govern and prevail.</w:t>
      </w:r>
    </w:p>
    <w:p>
      <w:pPr>
        <w:spacing w:after="0" w:line="147" w:lineRule="exact"/>
        <w:rPr>
          <w:rFonts w:ascii="Times New Roman" w:cs="Times New Roman" w:eastAsia="Times New Roman" w:hAnsi="Times New Roman"/>
          <w:sz w:val="17"/>
          <w:szCs w:val="17"/>
          <w:color w:val="auto"/>
        </w:rPr>
      </w:pPr>
    </w:p>
    <w:p>
      <w:pPr>
        <w:jc w:val="both"/>
        <w:ind w:firstLine="423"/>
        <w:spacing w:after="0" w:line="266" w:lineRule="auto"/>
        <w:tabs>
          <w:tab w:leader="none" w:pos="63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Administrative Costs</w:t>
      </w:r>
      <w:r>
        <w:rPr>
          <w:rFonts w:ascii="Times New Roman" w:cs="Times New Roman" w:eastAsia="Times New Roman" w:hAnsi="Times New Roman"/>
          <w:sz w:val="17"/>
          <w:szCs w:val="17"/>
          <w:color w:val="auto"/>
        </w:rPr>
        <w:t>. The Company or a Related Corporation or Affiliate will pay the expenses incurred in the administration of the Plan other than any fees or transfer, excise or similar taxes imposed on the transaction pursuant to which any shares of Common Stock are purchased. The Participant will pay any transaction fees, commissions or similar costs on any sale of shares of Common Stock and may also be charged the reasonable costs associated with issuing a stock certificate or similar matters.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560"/>
          </w:cols>
          <w:pgMar w:left="660" w:top="264" w:right="679" w:bottom="1440" w:gutter="0" w:footer="0" w:header="0"/>
        </w:sectPr>
      </w:pPr>
    </w:p>
    <w:bookmarkStart w:id="52" w:name="page53"/>
    <w:bookmarkEnd w:id="52"/>
    <w:p>
      <w:pPr>
        <w:jc w:val="both"/>
        <w:ind w:firstLine="423"/>
        <w:spacing w:after="0" w:line="273" w:lineRule="auto"/>
        <w:tabs>
          <w:tab w:leader="none" w:pos="64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9945" cy="37465"/>
                    </a:xfrm>
                    <a:prstGeom prst="rect">
                      <a:avLst/>
                    </a:prstGeom>
                    <a:noFill/>
                  </pic:spPr>
                </pic:pic>
              </a:graphicData>
            </a:graphic>
          </wp:anchor>
        </w:drawing>
        <w:t>Notice of Disqualifying Disposition</w:t>
      </w:r>
      <w:r>
        <w:rPr>
          <w:rFonts w:ascii="Times New Roman" w:cs="Times New Roman" w:eastAsia="Times New Roman" w:hAnsi="Times New Roman"/>
          <w:sz w:val="17"/>
          <w:szCs w:val="17"/>
          <w:color w:val="auto"/>
        </w:rPr>
        <w:t>. Each Participant who participates in a Section 423 Offering and is subject to taxation in the United States shall give the Company prompt written notice of any disposition or other transfer of shares of Common Stock acquired pursuant to the exercise of a Purchase Right, if such disposition or transfer is made within two years after the Grant Date or within one year after the Purchase Date.</w:t>
      </w:r>
    </w:p>
    <w:p>
      <w:pPr>
        <w:spacing w:after="0" w:line="161" w:lineRule="exact"/>
        <w:rPr>
          <w:rFonts w:ascii="Times New Roman" w:cs="Times New Roman" w:eastAsia="Times New Roman" w:hAnsi="Times New Roman"/>
          <w:sz w:val="17"/>
          <w:szCs w:val="17"/>
          <w:color w:val="auto"/>
        </w:rPr>
      </w:pPr>
    </w:p>
    <w:p>
      <w:pPr>
        <w:jc w:val="both"/>
        <w:ind w:firstLine="423"/>
        <w:spacing w:after="0" w:line="263" w:lineRule="auto"/>
        <w:tabs>
          <w:tab w:leader="none" w:pos="62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Protection</w:t>
      </w:r>
      <w:r>
        <w:rPr>
          <w:rFonts w:ascii="Times New Roman" w:cs="Times New Roman" w:eastAsia="Times New Roman" w:hAnsi="Times New Roman"/>
          <w:sz w:val="17"/>
          <w:szCs w:val="17"/>
          <w:color w:val="auto"/>
        </w:rPr>
        <w:t>. By participating in the Plan or accepting any rights granted under it, each Participant consents to the collection and processing of personal data relating to the Participant so that the Company and its Affiliates can fulfill their obligations and exercise their rights under the Plan and generally administer the Plan. This data will include, but may not be limited to, data about participation in the Plan and shares offered or received, purchased, or sold under the Plan from time to time and other appropriate financial and other data about the Participant and the Participant’s participation in the Plan.</w:t>
      </w:r>
    </w:p>
    <w:p>
      <w:pPr>
        <w:spacing w:after="0" w:line="172" w:lineRule="exact"/>
        <w:rPr>
          <w:rFonts w:ascii="Times New Roman" w:cs="Times New Roman" w:eastAsia="Times New Roman" w:hAnsi="Times New Roman"/>
          <w:sz w:val="17"/>
          <w:szCs w:val="17"/>
          <w:color w:val="auto"/>
        </w:rPr>
      </w:pPr>
    </w:p>
    <w:p>
      <w:pPr>
        <w:jc w:val="both"/>
        <w:ind w:firstLine="423"/>
        <w:spacing w:after="0" w:line="260" w:lineRule="auto"/>
        <w:tabs>
          <w:tab w:leader="none" w:pos="667"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Trust or Fund Created</w:t>
      </w:r>
      <w:r>
        <w:rPr>
          <w:rFonts w:ascii="Times New Roman" w:cs="Times New Roman" w:eastAsia="Times New Roman" w:hAnsi="Times New Roman"/>
          <w:sz w:val="17"/>
          <w:szCs w:val="17"/>
          <w:color w:val="auto"/>
        </w:rPr>
        <w:t>. Neither the Plan nor any Purchase Right shall create or be construed to create a trust or separate fund of any kind or a fiduciary relationship between the Company or any of its Affiliates, on the one hand, and a Participant or other Person, on the other hand. No provision of the Plan or any Purchase Right shall require the Company, for the purpose of satisfying any obligations under the Plan, to purchase assets or place any assets in a trust or other entity to which contributions are made or otherwise to segregate any assets, nor shall the Company be obligated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service providers under general law.</w:t>
      </w:r>
    </w:p>
    <w:p>
      <w:pPr>
        <w:spacing w:after="0" w:line="200" w:lineRule="exact"/>
        <w:rPr>
          <w:rFonts w:ascii="Times New Roman" w:cs="Times New Roman" w:eastAsia="Times New Roman" w:hAnsi="Times New Roman"/>
          <w:sz w:val="17"/>
          <w:szCs w:val="17"/>
          <w:color w:val="auto"/>
        </w:rPr>
      </w:pPr>
    </w:p>
    <w:p>
      <w:pPr>
        <w:spacing w:after="0" w:line="322" w:lineRule="exact"/>
        <w:rPr>
          <w:rFonts w:ascii="Times New Roman" w:cs="Times New Roman" w:eastAsia="Times New Roman" w:hAnsi="Times New Roman"/>
          <w:sz w:val="17"/>
          <w:szCs w:val="17"/>
          <w:color w:val="auto"/>
        </w:rPr>
      </w:pPr>
    </w:p>
    <w:p>
      <w:pPr>
        <w:ind w:left="420" w:hanging="420"/>
        <w:spacing w:after="0"/>
        <w:tabs>
          <w:tab w:leader="none" w:pos="42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Code Section 409A; Tax Qualification</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jc w:val="both"/>
        <w:ind w:firstLine="422"/>
        <w:spacing w:after="0" w:line="258" w:lineRule="auto"/>
        <w:rPr>
          <w:sz w:val="20"/>
          <w:szCs w:val="20"/>
          <w:color w:val="auto"/>
        </w:rPr>
      </w:pPr>
      <w:r>
        <w:rPr>
          <w:rFonts w:ascii="Times New Roman" w:cs="Times New Roman" w:eastAsia="Times New Roman" w:hAnsi="Times New Roman"/>
          <w:sz w:val="17"/>
          <w:szCs w:val="17"/>
          <w:color w:val="auto"/>
        </w:rPr>
        <w:t>Purchase Rights to purchase shares of Common Stock granted under a Section 423 Offering are exempt from the application of Code Section 409A and Code Section 457A. In furtherance of the foregoing and notwithstanding any provision in the Plan to the contrary, if the Committee determines that a Purchase Right may be subject to Code Section 409A or Code Section 457A or that any provision in the Plan would cause a Purchase Right under the Plan to be subject to Code Section 409A or Code Section 457A, the Committee may amend the terms of the Plan and/or of an outstanding Purchase Right, or take such other action the Committee determines is necessary or appropriate, in each case, without the Participant’s consent, to exempt any outstanding Purchase Right or future Purchase Right from or to allow any such Purchase Rights to comply with Code Section 409A or Code Section 457A, but only to the extent any such amendments or action by the Committee would not violate Code Section 409A or Code Section 457A. Notwithstanding the foregoing, the Company shall not have any obligation to indemnify or otherwise protect the Participant from any obligation to pay any taxes, interest or penalties pursuant to Code Section 409A or Code Section 457A. The Company makes no representation that the Purchase Right to purchase shares of Common Stock under the Plan is compliant with Code Section 409A or Code Section 457A.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560"/>
          </w:cols>
          <w:pgMar w:left="660" w:top="264" w:right="6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Simpson Thacher &amp; Bartlett </w:t>
      </w:r>
      <w:r>
        <w:rPr>
          <w:rFonts w:ascii="Times New Roman" w:cs="Times New Roman" w:eastAsia="Times New Roman" w:hAnsi="Times New Roman"/>
          <w:sz w:val="17"/>
          <w:szCs w:val="17"/>
          <w:b w:val="1"/>
          <w:bCs w:val="1"/>
          <w:color w:val="auto"/>
        </w:rPr>
        <w:t>LLP</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900 G S</w:t>
      </w:r>
      <w:r>
        <w:rPr>
          <w:rFonts w:ascii="Times New Roman" w:cs="Times New Roman" w:eastAsia="Times New Roman" w:hAnsi="Times New Roman"/>
          <w:sz w:val="11"/>
          <w:szCs w:val="11"/>
          <w:color w:val="auto"/>
        </w:rPr>
        <w:t>TREET</w:t>
      </w:r>
      <w:r>
        <w:rPr>
          <w:rFonts w:ascii="Times New Roman" w:cs="Times New Roman" w:eastAsia="Times New Roman" w:hAnsi="Times New Roman"/>
          <w:sz w:val="14"/>
          <w:szCs w:val="14"/>
          <w:color w:val="auto"/>
        </w:rPr>
        <w:t>, NW</w:t>
      </w:r>
    </w:p>
    <w:p>
      <w:pPr>
        <w:jc w:val="center"/>
        <w:spacing w:after="0"/>
        <w:rPr>
          <w:sz w:val="20"/>
          <w:szCs w:val="20"/>
          <w:color w:val="auto"/>
        </w:rPr>
      </w:pPr>
      <w:r>
        <w:rPr>
          <w:rFonts w:ascii="Times New Roman" w:cs="Times New Roman" w:eastAsia="Times New Roman" w:hAnsi="Times New Roman"/>
          <w:sz w:val="14"/>
          <w:szCs w:val="14"/>
          <w:color w:val="auto"/>
        </w:rPr>
        <w:t>W</w:t>
      </w:r>
      <w:r>
        <w:rPr>
          <w:rFonts w:ascii="Times New Roman" w:cs="Times New Roman" w:eastAsia="Times New Roman" w:hAnsi="Times New Roman"/>
          <w:sz w:val="11"/>
          <w:szCs w:val="11"/>
          <w:color w:val="auto"/>
        </w:rPr>
        <w:t>ASHINGTON</w:t>
      </w:r>
      <w:r>
        <w:rPr>
          <w:rFonts w:ascii="Times New Roman" w:cs="Times New Roman" w:eastAsia="Times New Roman" w:hAnsi="Times New Roman"/>
          <w:sz w:val="14"/>
          <w:szCs w:val="14"/>
          <w:color w:val="auto"/>
        </w:rPr>
        <w:t>, D.C. 20001</w:t>
      </w:r>
    </w:p>
    <w:p>
      <w:pPr>
        <w:spacing w:after="0" w:line="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-5080</wp:posOffset>
            </wp:positionV>
            <wp:extent cx="78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1"/>
          <w:szCs w:val="11"/>
          <w:color w:val="auto"/>
        </w:rPr>
        <w:t>TELEPHONE</w:t>
      </w:r>
      <w:r>
        <w:rPr>
          <w:rFonts w:ascii="Times New Roman" w:cs="Times New Roman" w:eastAsia="Times New Roman" w:hAnsi="Times New Roman"/>
          <w:sz w:val="13"/>
          <w:szCs w:val="13"/>
          <w:color w:val="auto"/>
        </w:rPr>
        <w:t>: +1-202-636-5500</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1"/>
          <w:szCs w:val="11"/>
          <w:color w:val="auto"/>
        </w:rPr>
        <w:t>FACSIMILE</w:t>
      </w:r>
      <w:r>
        <w:rPr>
          <w:rFonts w:ascii="Times New Roman" w:cs="Times New Roman" w:eastAsia="Times New Roman" w:hAnsi="Times New Roman"/>
          <w:sz w:val="13"/>
          <w:szCs w:val="13"/>
          <w:color w:val="auto"/>
        </w:rPr>
        <w:t>: +1-202-636-5502</w:t>
      </w:r>
    </w:p>
    <w:p>
      <w:pPr>
        <w:spacing w:after="0" w:line="223" w:lineRule="exact"/>
        <w:rPr>
          <w:sz w:val="20"/>
          <w:szCs w:val="20"/>
          <w:color w:val="auto"/>
        </w:rPr>
      </w:pPr>
    </w:p>
    <w:p>
      <w:pPr>
        <w:spacing w:after="0"/>
        <w:tabs>
          <w:tab w:leader="none" w:pos="9680" w:val="left"/>
        </w:tabs>
        <w:rPr>
          <w:sz w:val="20"/>
          <w:szCs w:val="20"/>
          <w:color w:val="auto"/>
        </w:rPr>
      </w:pPr>
      <w:r>
        <w:rPr>
          <w:rFonts w:ascii="Times New Roman" w:cs="Times New Roman" w:eastAsia="Times New Roman" w:hAnsi="Times New Roman"/>
          <w:sz w:val="14"/>
          <w:szCs w:val="14"/>
          <w:color w:val="auto"/>
        </w:rPr>
        <w:t>Direct Dial Number</w:t>
      </w:r>
      <w:r>
        <w:rPr>
          <w:sz w:val="20"/>
          <w:szCs w:val="20"/>
          <w:color w:val="auto"/>
        </w:rPr>
        <w:tab/>
      </w:r>
      <w:r>
        <w:rPr>
          <w:rFonts w:ascii="Times New Roman" w:cs="Times New Roman" w:eastAsia="Times New Roman" w:hAnsi="Times New Roman"/>
          <w:sz w:val="13"/>
          <w:szCs w:val="13"/>
          <w:color w:val="auto"/>
        </w:rPr>
        <w:t>E-mail Address</w:t>
      </w:r>
    </w:p>
    <w:p>
      <w:pPr>
        <w:spacing w:after="0" w:line="19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7"/>
          <w:szCs w:val="17"/>
          <w:color w:val="auto"/>
        </w:rPr>
        <w:t xml:space="preserve">December 16, 2025             </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Medline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Lakes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Northfield, Illinois 60093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Addressee Stated Above:</w:t>
      </w:r>
    </w:p>
    <w:p>
      <w:pPr>
        <w:spacing w:after="0" w:line="115" w:lineRule="exact"/>
        <w:rPr>
          <w:sz w:val="20"/>
          <w:szCs w:val="20"/>
          <w:color w:val="auto"/>
        </w:rPr>
      </w:pPr>
    </w:p>
    <w:p>
      <w:pPr>
        <w:ind w:right="20" w:firstLine="422"/>
        <w:spacing w:after="0" w:line="260" w:lineRule="auto"/>
        <w:rPr>
          <w:sz w:val="20"/>
          <w:szCs w:val="20"/>
          <w:color w:val="auto"/>
        </w:rPr>
      </w:pPr>
      <w:r>
        <w:rPr>
          <w:rFonts w:ascii="Times New Roman" w:cs="Times New Roman" w:eastAsia="Times New Roman" w:hAnsi="Times New Roman"/>
          <w:sz w:val="17"/>
          <w:szCs w:val="17"/>
          <w:color w:val="auto"/>
        </w:rPr>
        <w:t>We have acted as counsel to Medline Inc., a Delaware corporation (the “Company”), in connection with the Registration Statement on Form S-8 (the “Registration Statement”) filed by the Company with the Securities and Exchange Commission (the “Commission”) under the Securities Act of 1933, as amended (the “Act”), relating to the issuance by the Company of an aggregate of up to 129,246,350 shares (the “Shares”) of Class A common stock, par value $0.0001 per share, of the Company (the “Class A Common Stock”), consisting of: (i) up to 109,246,350 shares of Class A Common Stock that may be issued by the Company pursuant to the Medline Inc. 2025 Omnibus Incentive Plan (the “2025 Omnibus Plan”) and (ii) up to 20,000,000 shares of Class A Common Stock that may be issued by the Company pursuant to the Medline Inc. 2025 Employee Stock Purchase Plan (the “ESPP” and, together with the 2025 Omnibus Plan, the “Plans”).</w:t>
      </w:r>
    </w:p>
    <w:p>
      <w:pPr>
        <w:spacing w:after="0" w:line="175" w:lineRule="exact"/>
        <w:rPr>
          <w:sz w:val="20"/>
          <w:szCs w:val="20"/>
          <w:color w:val="auto"/>
        </w:rPr>
      </w:pPr>
    </w:p>
    <w:p>
      <w:pPr>
        <w:ind w:right="120" w:firstLine="422"/>
        <w:spacing w:after="0" w:line="263" w:lineRule="auto"/>
        <w:rPr>
          <w:sz w:val="20"/>
          <w:szCs w:val="20"/>
          <w:color w:val="auto"/>
        </w:rPr>
      </w:pPr>
      <w:r>
        <w:rPr>
          <w:rFonts w:ascii="Times New Roman" w:cs="Times New Roman" w:eastAsia="Times New Roman" w:hAnsi="Times New Roman"/>
          <w:sz w:val="17"/>
          <w:szCs w:val="17"/>
          <w:color w:val="auto"/>
        </w:rPr>
        <w:t>We have examined the Registration Statement, a form of the Amended and Restated Certificate of Incorporation of the Company (the “Amended Certificate”) and the Plans,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72" w:lineRule="exact"/>
        <w:rPr>
          <w:sz w:val="20"/>
          <w:szCs w:val="20"/>
          <w:color w:val="auto"/>
        </w:rPr>
      </w:pPr>
    </w:p>
    <w:p>
      <w:pPr>
        <w:ind w:right="80" w:firstLine="422"/>
        <w:spacing w:after="0" w:line="263" w:lineRule="auto"/>
        <w:rPr>
          <w:sz w:val="20"/>
          <w:szCs w:val="20"/>
          <w:color w:val="auto"/>
        </w:rPr>
      </w:pPr>
      <w:r>
        <w:rPr>
          <w:rFonts w:ascii="Times New Roman" w:cs="Times New Roman" w:eastAsia="Times New Roman" w:hAnsi="Times New Roman"/>
          <w:sz w:val="17"/>
          <w:szCs w:val="17"/>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also assumed that the Amended Certificate is filed with the Secretary of State for the State of Delaware in the form filed with the Commission as an exhibit to the Registration Statement prior to the issuance of any of the Shares.</w:t>
      </w:r>
    </w:p>
    <w:p>
      <w:pPr>
        <w:spacing w:after="0" w:line="345" w:lineRule="exact"/>
        <w:rPr>
          <w:sz w:val="20"/>
          <w:szCs w:val="20"/>
          <w:color w:val="auto"/>
        </w:rPr>
      </w:pPr>
    </w:p>
    <w:p>
      <w:pPr>
        <w:spacing w:after="0"/>
        <w:tabs>
          <w:tab w:leader="none" w:pos="880" w:val="left"/>
          <w:tab w:leader="none" w:pos="1620" w:val="left"/>
          <w:tab w:leader="none" w:pos="2360" w:val="left"/>
          <w:tab w:leader="none" w:pos="3240" w:val="left"/>
          <w:tab w:leader="none" w:pos="4240" w:val="left"/>
          <w:tab w:leader="none" w:pos="5100" w:val="left"/>
          <w:tab w:leader="none" w:pos="5880" w:val="left"/>
          <w:tab w:leader="none" w:pos="7020" w:val="left"/>
          <w:tab w:leader="none" w:pos="8160" w:val="left"/>
          <w:tab w:leader="none" w:pos="9080" w:val="left"/>
          <w:tab w:leader="none" w:pos="10100" w:val="left"/>
        </w:tabs>
        <w:rPr>
          <w:sz w:val="20"/>
          <w:szCs w:val="20"/>
          <w:color w:val="auto"/>
        </w:rPr>
      </w:pPr>
      <w:r>
        <w:rPr>
          <w:rFonts w:ascii="Times New Roman" w:cs="Times New Roman" w:eastAsia="Times New Roman" w:hAnsi="Times New Roman"/>
          <w:sz w:val="10"/>
          <w:szCs w:val="10"/>
          <w:color w:val="auto"/>
        </w:rPr>
        <w:t>NEW YORK</w:t>
      </w:r>
      <w:r>
        <w:rPr>
          <w:sz w:val="20"/>
          <w:szCs w:val="20"/>
          <w:color w:val="auto"/>
        </w:rPr>
        <w:tab/>
      </w:r>
      <w:r>
        <w:rPr>
          <w:rFonts w:ascii="Times New Roman" w:cs="Times New Roman" w:eastAsia="Times New Roman" w:hAnsi="Times New Roman"/>
          <w:sz w:val="10"/>
          <w:szCs w:val="10"/>
          <w:color w:val="auto"/>
        </w:rPr>
        <w:t>BEIJING</w:t>
      </w:r>
      <w:r>
        <w:rPr>
          <w:sz w:val="20"/>
          <w:szCs w:val="20"/>
          <w:color w:val="auto"/>
        </w:rPr>
        <w:tab/>
      </w:r>
      <w:r>
        <w:rPr>
          <w:rFonts w:ascii="Times New Roman" w:cs="Times New Roman" w:eastAsia="Times New Roman" w:hAnsi="Times New Roman"/>
          <w:sz w:val="10"/>
          <w:szCs w:val="10"/>
          <w:color w:val="auto"/>
        </w:rPr>
        <w:t>BOSTON</w:t>
      </w:r>
      <w:r>
        <w:rPr>
          <w:sz w:val="20"/>
          <w:szCs w:val="20"/>
          <w:color w:val="auto"/>
        </w:rPr>
        <w:tab/>
      </w:r>
      <w:r>
        <w:rPr>
          <w:rFonts w:ascii="Times New Roman" w:cs="Times New Roman" w:eastAsia="Times New Roman" w:hAnsi="Times New Roman"/>
          <w:sz w:val="10"/>
          <w:szCs w:val="10"/>
          <w:color w:val="auto"/>
        </w:rPr>
        <w:t>BRUSSELS</w:t>
      </w:r>
      <w:r>
        <w:rPr>
          <w:sz w:val="20"/>
          <w:szCs w:val="20"/>
          <w:color w:val="auto"/>
        </w:rPr>
        <w:tab/>
      </w:r>
      <w:r>
        <w:rPr>
          <w:rFonts w:ascii="Times New Roman" w:cs="Times New Roman" w:eastAsia="Times New Roman" w:hAnsi="Times New Roman"/>
          <w:sz w:val="10"/>
          <w:szCs w:val="10"/>
          <w:color w:val="auto"/>
        </w:rPr>
        <w:t>HONG KONG</w:t>
      </w:r>
      <w:r>
        <w:rPr>
          <w:sz w:val="20"/>
          <w:szCs w:val="20"/>
          <w:color w:val="auto"/>
        </w:rPr>
        <w:tab/>
      </w:r>
      <w:r>
        <w:rPr>
          <w:rFonts w:ascii="Times New Roman" w:cs="Times New Roman" w:eastAsia="Times New Roman" w:hAnsi="Times New Roman"/>
          <w:sz w:val="10"/>
          <w:szCs w:val="10"/>
          <w:color w:val="auto"/>
        </w:rPr>
        <w:t>HOUSTON</w:t>
      </w:r>
      <w:r>
        <w:rPr>
          <w:sz w:val="20"/>
          <w:szCs w:val="20"/>
          <w:color w:val="auto"/>
        </w:rPr>
        <w:tab/>
      </w:r>
      <w:r>
        <w:rPr>
          <w:rFonts w:ascii="Times New Roman" w:cs="Times New Roman" w:eastAsia="Times New Roman" w:hAnsi="Times New Roman"/>
          <w:sz w:val="10"/>
          <w:szCs w:val="10"/>
          <w:color w:val="auto"/>
        </w:rPr>
        <w:t>LONDON</w:t>
      </w:r>
      <w:r>
        <w:rPr>
          <w:sz w:val="20"/>
          <w:szCs w:val="20"/>
          <w:color w:val="auto"/>
        </w:rPr>
        <w:tab/>
      </w:r>
      <w:r>
        <w:rPr>
          <w:rFonts w:ascii="Times New Roman" w:cs="Times New Roman" w:eastAsia="Times New Roman" w:hAnsi="Times New Roman"/>
          <w:sz w:val="10"/>
          <w:szCs w:val="10"/>
          <w:color w:val="auto"/>
        </w:rPr>
        <w:t>LOS ANGELES</w:t>
      </w:r>
      <w:r>
        <w:rPr>
          <w:sz w:val="20"/>
          <w:szCs w:val="20"/>
          <w:color w:val="auto"/>
        </w:rPr>
        <w:tab/>
      </w:r>
      <w:r>
        <w:rPr>
          <w:rFonts w:ascii="Times New Roman" w:cs="Times New Roman" w:eastAsia="Times New Roman" w:hAnsi="Times New Roman"/>
          <w:sz w:val="10"/>
          <w:szCs w:val="10"/>
          <w:color w:val="auto"/>
        </w:rPr>
        <w:t>LUXEMBOURG</w:t>
      </w:r>
      <w:r>
        <w:rPr>
          <w:sz w:val="20"/>
          <w:szCs w:val="20"/>
          <w:color w:val="auto"/>
        </w:rPr>
        <w:tab/>
      </w:r>
      <w:r>
        <w:rPr>
          <w:rFonts w:ascii="Times New Roman" w:cs="Times New Roman" w:eastAsia="Times New Roman" w:hAnsi="Times New Roman"/>
          <w:sz w:val="10"/>
          <w:szCs w:val="10"/>
          <w:color w:val="auto"/>
        </w:rPr>
        <w:t>PALO ALTO</w:t>
      </w:r>
      <w:r>
        <w:rPr>
          <w:sz w:val="20"/>
          <w:szCs w:val="20"/>
          <w:color w:val="auto"/>
        </w:rPr>
        <w:tab/>
      </w:r>
      <w:r>
        <w:rPr>
          <w:rFonts w:ascii="Times New Roman" w:cs="Times New Roman" w:eastAsia="Times New Roman" w:hAnsi="Times New Roman"/>
          <w:sz w:val="10"/>
          <w:szCs w:val="10"/>
          <w:color w:val="auto"/>
        </w:rPr>
        <w:t>SÃO PAULO</w:t>
      </w:r>
      <w:r>
        <w:rPr>
          <w:sz w:val="20"/>
          <w:szCs w:val="20"/>
          <w:color w:val="auto"/>
        </w:rPr>
        <w:tab/>
      </w:r>
      <w:r>
        <w:rPr>
          <w:rFonts w:ascii="Times New Roman" w:cs="Times New Roman" w:eastAsia="Times New Roman" w:hAnsi="Times New Roman"/>
          <w:sz w:val="10"/>
          <w:szCs w:val="10"/>
          <w:color w:val="auto"/>
        </w:rPr>
        <w:t>TOKYO</w:t>
      </w:r>
    </w:p>
    <w:p>
      <w:pPr>
        <w:sectPr>
          <w:pgSz w:w="11900" w:h="16838" w:orient="portrait"/>
          <w:cols w:equalWidth="0" w:num="1">
            <w:col w:w="10560"/>
          </w:cols>
          <w:pgMar w:left="660" w:top="119" w:right="679" w:bottom="1440" w:gutter="0" w:footer="0" w:header="0"/>
        </w:sectPr>
      </w:pPr>
    </w:p>
    <w:bookmarkStart w:id="54" w:name="page55"/>
    <w:bookmarkEnd w:id="54"/>
    <w:p>
      <w:pPr>
        <w:ind w:firstLine="422"/>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9945" cy="37465"/>
                    </a:xfrm>
                    <a:prstGeom prst="rect">
                      <a:avLst/>
                    </a:prstGeom>
                    <a:noFill/>
                  </pic:spPr>
                </pic:pic>
              </a:graphicData>
            </a:graphic>
          </wp:anchor>
        </w:drawing>
        <w:t>Based upon the foregoing, and subject to the qualifications, assumptions and limitations stated herein, we are of the opinion that (1) when the Amended Certificate has been duly filed with the Secretary of State for the State of Delaware and (2) upon issuance and delivery in accordance with the Plans, the Shares will be validly issued, fully paid and nonassessable.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do not express any opinion herein concerning any law other than the Delaware General Corporation Law.</w:t>
      </w: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hereby consent to the filing of this opinion letter as Exhibit 5.1 to the Registration Statement.</w:t>
      </w:r>
    </w:p>
    <w:p>
      <w:pPr>
        <w:spacing w:after="0" w:line="24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Simpson Thacher &amp; Bartlett LLP</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SIMPSON THACHER &amp; BARTLETT LLP</w:t>
      </w:r>
    </w:p>
    <w:p>
      <w:pPr>
        <w:sectPr>
          <w:pgSz w:w="11900" w:h="16838" w:orient="portrait"/>
          <w:cols w:equalWidth="0" w:num="1">
            <w:col w:w="10500"/>
          </w:cols>
          <w:pgMar w:left="660" w:top="264" w:right="7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Medline Inc. 2025 Omnibus Incentive Plan and Medline Inc. 2025 Employee Stock Purchase Plan of our report dated February 28, 2025, with respect to the consolidated financial statements of Medline Holdings, LP included in Amendment No. 2 to the Registration Statement on Form S-1 (Form S-1 No. 333-291112) and related Prospectus of Medline Inc. filed with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16, 2025</w:t>
      </w:r>
    </w:p>
    <w:p>
      <w:pPr>
        <w:sectPr>
          <w:pgSz w:w="11900" w:h="16838" w:orient="portrait"/>
          <w:cols w:equalWidth="0" w:num="1">
            <w:col w:w="10560"/>
          </w:cols>
          <w:pgMar w:left="660" w:top="119" w:right="679" w:bottom="1440" w:gutter="0" w:footer="0" w:header="0"/>
        </w:sectPr>
      </w:pPr>
    </w:p>
    <w:bookmarkStart w:id="56" w:name="page57"/>
    <w:bookmarkEnd w:id="56"/>
    <w:p>
      <w:pPr>
        <w:spacing w:after="0" w:line="62" w:lineRule="exact"/>
        <w:rPr>
          <w:sz w:val="20"/>
          <w:szCs w:val="20"/>
          <w:color w:val="auto"/>
        </w:rPr>
      </w:pPr>
    </w:p>
    <w:p>
      <w:pPr>
        <w:ind w:left="294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35"/>
          <w:szCs w:val="35"/>
          <w:b w:val="1"/>
          <w:bCs w:val="1"/>
          <w:color w:val="auto"/>
        </w:rPr>
        <w:t>Medline Inc.</w:t>
      </w:r>
    </w:p>
    <w:p>
      <w:pPr>
        <w:spacing w:after="0" w:line="15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3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24"/>
                <w:szCs w:val="24"/>
                <w:color w:val="auto"/>
              </w:rPr>
            </w:pPr>
          </w:p>
        </w:tc>
        <w:tc>
          <w:tcPr>
            <w:tcW w:w="1180" w:type="dxa"/>
            <w:vAlign w:val="bottom"/>
            <w:shd w:val="clear" w:color="auto" w:fill="9ADAF6"/>
          </w:tcPr>
          <w:p>
            <w:pPr>
              <w:jc w:val="right"/>
              <w:ind w:right="116"/>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4"/>
                <w:szCs w:val="24"/>
                <w:color w:val="auto"/>
              </w:rPr>
            </w:pPr>
          </w:p>
        </w:tc>
        <w:tc>
          <w:tcPr>
            <w:tcW w:w="16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4"/>
                <w:szCs w:val="24"/>
                <w:color w:val="auto"/>
              </w:rPr>
            </w:pPr>
          </w:p>
        </w:tc>
        <w:tc>
          <w:tcPr>
            <w:tcW w:w="10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Class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20"/>
                <w:szCs w:val="20"/>
                <w:color w:val="auto"/>
              </w:rPr>
            </w:pPr>
          </w:p>
        </w:tc>
        <w:tc>
          <w:tcPr>
            <w:tcW w:w="118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20"/>
                <w:szCs w:val="20"/>
                <w:color w:val="auto"/>
              </w:rPr>
            </w:pPr>
          </w:p>
        </w:tc>
        <w:tc>
          <w:tcPr>
            <w:tcW w:w="16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6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6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2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stock,</w:t>
            </w:r>
          </w:p>
        </w:tc>
        <w:tc>
          <w:tcPr>
            <w:tcW w:w="20" w:type="dxa"/>
            <w:vAlign w:val="bottom"/>
          </w:tcPr>
          <w:p>
            <w:pPr>
              <w:spacing w:after="0"/>
              <w:rPr>
                <w:sz w:val="24"/>
                <w:szCs w:val="24"/>
                <w:color w:val="auto"/>
              </w:rPr>
            </w:pPr>
          </w:p>
        </w:tc>
        <w:tc>
          <w:tcPr>
            <w:tcW w:w="114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24"/>
                <w:szCs w:val="24"/>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21"/>
                <w:szCs w:val="21"/>
                <w:color w:val="auto"/>
                <w:w w:val="97"/>
              </w:rPr>
              <w:t>109,246,350</w:t>
            </w:r>
          </w:p>
        </w:tc>
        <w:tc>
          <w:tcPr>
            <w:tcW w:w="20" w:type="dxa"/>
            <w:vAlign w:val="bottom"/>
          </w:tcPr>
          <w:p>
            <w:pPr>
              <w:spacing w:after="0"/>
              <w:rPr>
                <w:sz w:val="24"/>
                <w:szCs w:val="24"/>
                <w:color w:val="auto"/>
              </w:rPr>
            </w:pPr>
          </w:p>
        </w:tc>
        <w:tc>
          <w:tcPr>
            <w:tcW w:w="13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$ 30.00</w:t>
            </w:r>
          </w:p>
        </w:tc>
        <w:tc>
          <w:tcPr>
            <w:tcW w:w="20" w:type="dxa"/>
            <w:vAlign w:val="bottom"/>
          </w:tcPr>
          <w:p>
            <w:pPr>
              <w:spacing w:after="0"/>
              <w:rPr>
                <w:sz w:val="24"/>
                <w:szCs w:val="24"/>
                <w:color w:val="auto"/>
              </w:rPr>
            </w:pPr>
          </w:p>
        </w:tc>
        <w:tc>
          <w:tcPr>
            <w:tcW w:w="16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00" w:type="dxa"/>
            <w:vAlign w:val="bottom"/>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40" w:type="dxa"/>
            <w:vAlign w:val="bottom"/>
          </w:tcPr>
          <w:p>
            <w:pPr>
              <w:spacing w:after="0"/>
              <w:rPr>
                <w:sz w:val="24"/>
                <w:szCs w:val="24"/>
                <w:color w:val="auto"/>
              </w:rPr>
            </w:pPr>
          </w:p>
        </w:tc>
        <w:tc>
          <w:tcPr>
            <w:tcW w:w="14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$ 452,608.00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2" w:lineRule="exact"/>
              <w:rPr>
                <w:sz w:val="20"/>
                <w:szCs w:val="20"/>
                <w:color w:val="auto"/>
              </w:rPr>
            </w:pPr>
            <w:r>
              <w:rPr>
                <w:rFonts w:ascii="Arial" w:cs="Arial" w:eastAsia="Arial" w:hAnsi="Arial"/>
                <w:sz w:val="16"/>
                <w:szCs w:val="16"/>
                <w:color w:val="auto"/>
              </w:rPr>
              <w:t>$0.0001</w:t>
            </w: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shd w:val="clear" w:color="auto" w:fill="E7E7E2"/>
          </w:tcPr>
          <w:p>
            <w:pPr>
              <w:jc w:val="right"/>
              <w:spacing w:after="0" w:line="142" w:lineRule="exact"/>
              <w:rPr>
                <w:sz w:val="20"/>
                <w:szCs w:val="20"/>
                <w:color w:val="auto"/>
              </w:rPr>
            </w:pPr>
            <w:r>
              <w:rPr>
                <w:rFonts w:ascii="Arial" w:cs="Arial" w:eastAsia="Arial" w:hAnsi="Arial"/>
                <w:sz w:val="16"/>
                <w:szCs w:val="16"/>
                <w:color w:val="auto"/>
              </w:rPr>
              <w:t>3,277,390,500.00</w:t>
            </w: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shd w:val="clear" w:color="auto" w:fill="E7E7E2"/>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2</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20,000,000</w:t>
            </w:r>
          </w:p>
        </w:tc>
        <w:tc>
          <w:tcPr>
            <w:tcW w:w="20" w:type="dxa"/>
            <w:vAlign w:val="bottom"/>
          </w:tcPr>
          <w:p>
            <w:pPr>
              <w:spacing w:after="0"/>
              <w:rPr>
                <w:sz w:val="20"/>
                <w:szCs w:val="2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$ 30.00</w:t>
            </w:r>
          </w:p>
        </w:tc>
        <w:tc>
          <w:tcPr>
            <w:tcW w:w="20" w:type="dxa"/>
            <w:vAlign w:val="bottom"/>
          </w:tcPr>
          <w:p>
            <w:pPr>
              <w:spacing w:after="0"/>
              <w:rPr>
                <w:sz w:val="20"/>
                <w:szCs w:val="20"/>
                <w:color w:val="auto"/>
              </w:rPr>
            </w:pPr>
          </w:p>
        </w:tc>
        <w:tc>
          <w:tcPr>
            <w:tcW w:w="16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99"/>
              </w:rPr>
              <w:t>$ 600,000,000.00</w:t>
            </w:r>
          </w:p>
        </w:tc>
        <w:tc>
          <w:tcPr>
            <w:tcW w:w="20" w:type="dxa"/>
            <w:vAlign w:val="bottom"/>
          </w:tcPr>
          <w:p>
            <w:pPr>
              <w:spacing w:after="0"/>
              <w:rPr>
                <w:sz w:val="20"/>
                <w:szCs w:val="20"/>
                <w:color w:val="auto"/>
              </w:rPr>
            </w:pPr>
          </w:p>
        </w:tc>
        <w:tc>
          <w:tcPr>
            <w:tcW w:w="10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0.0001381</w:t>
            </w:r>
          </w:p>
        </w:tc>
        <w:tc>
          <w:tcPr>
            <w:tcW w:w="4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$ 82,860.00</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60" w:type="dxa"/>
            <w:vAlign w:val="bottom"/>
            <w:tcBorders>
              <w:left w:val="single" w:sz="8" w:color="auto"/>
            </w:tcBorders>
          </w:tcPr>
          <w:p>
            <w:pPr>
              <w:spacing w:after="0"/>
              <w:rPr>
                <w:sz w:val="13"/>
                <w:szCs w:val="13"/>
                <w:color w:val="auto"/>
              </w:rPr>
            </w:pPr>
          </w:p>
        </w:tc>
        <w:tc>
          <w:tcPr>
            <w:tcW w:w="1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shd w:val="clear" w:color="auto" w:fill="E7E7E2"/>
          </w:tcPr>
          <w:p>
            <w:pPr>
              <w:ind w:left="20"/>
              <w:spacing w:after="0" w:line="233"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continue"/>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0" w:type="dxa"/>
            <w:vAlign w:val="bottom"/>
            <w:tcBorders>
              <w:left w:val="single" w:sz="8" w:color="auto"/>
            </w:tcBorders>
          </w:tcPr>
          <w:p>
            <w:pPr>
              <w:spacing w:after="0"/>
              <w:rPr>
                <w:sz w:val="6"/>
                <w:szCs w:val="6"/>
                <w:color w:val="auto"/>
              </w:rPr>
            </w:pPr>
          </w:p>
        </w:tc>
        <w:tc>
          <w:tcPr>
            <w:tcW w:w="1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6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460" w:type="dxa"/>
            <w:vAlign w:val="bottom"/>
            <w:shd w:val="clear" w:color="auto" w:fill="E7E7E2"/>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0" w:type="dxa"/>
            <w:vAlign w:val="bottom"/>
            <w:tcBorders>
              <w:lef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$ 535,468.00</w:t>
            </w: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Borders>
              <w:lef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Arial" w:cs="Arial" w:eastAsia="Arial" w:hAnsi="Arial"/>
                <w:sz w:val="21"/>
                <w:szCs w:val="21"/>
                <w:color w:val="auto"/>
              </w:rPr>
              <w:t>3,877,390,500.00</w:t>
            </w: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$ 535,468.00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780" w:right="660" w:hanging="214"/>
        <w:spacing w:after="0" w:line="230" w:lineRule="auto"/>
        <w:tabs>
          <w:tab w:leader="none" w:pos="780" w:val="left"/>
        </w:tabs>
        <w:numPr>
          <w:ilvl w:val="0"/>
          <w:numId w:val="95"/>
        </w:numPr>
        <w:rPr>
          <w:rFonts w:ascii="Arial" w:cs="Arial" w:eastAsia="Arial" w:hAnsi="Arial"/>
          <w:sz w:val="26"/>
          <w:szCs w:val="26"/>
          <w:color w:val="auto"/>
          <w:vertAlign w:val="superscript"/>
        </w:rPr>
      </w:pPr>
      <w:r>
        <w:rPr>
          <w:rFonts w:ascii="Arial" w:cs="Arial" w:eastAsia="Arial" w:hAnsi="Arial"/>
          <w:sz w:val="21"/>
          <w:szCs w:val="21"/>
          <w:color w:val="auto"/>
        </w:rPr>
        <w:t>(a) Covers shares of Class A common stock, $0.0001 par value per share, of Medline Inc. ("Class A Common Stock") issuable under the Medline Inc. 2025 Omnibus Incentive Plan (the "Omnibus Incentive Plan"). (b) Pursuant to Rule 416(a) under the Securities Act of 1933, as amended (the "Securities Act"), the Registration Statement on Form S-8 (the "Registration Statement") to which this exhibit relates also covers an indeterminate number of additional shares of Class A Common Stock, which may be offered and issued under the Omnibus Incentive Plan and ESPP, as applicable, to prevent dilution resulting from stock splits, stock dividends or similar transactions. (c) Pursuant to Rule 457(c) and 457(h)(1) of the Securities Act, the proposed maximum offering price per share and the proposed maximum aggregate offering price are estimated solely for the purpose of calculating the amount of the registration fee and are based with respect to the 109,246,350 shares approved for issuance under the Omnibus Incentive Plan, and with respect to the 20,000,000 shares issuable under the ESPP, on a price of $30.00 per share, which is the high-point of the estimated price range per share of Class A Common Stock for the Registrant's initial public offering of Class A Common Stock pursuant to the Registrant's Registration Statement on Form S-1 (File No. 333-291112).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82550</wp:posOffset>
            </wp:positionV>
            <wp:extent cx="6398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85" w:lineRule="exact"/>
        <w:rPr>
          <w:sz w:val="20"/>
          <w:szCs w:val="20"/>
          <w:color w:val="auto"/>
        </w:rPr>
      </w:pPr>
    </w:p>
    <w:p>
      <w:pPr>
        <w:jc w:val="both"/>
        <w:ind w:left="780" w:right="1600" w:hanging="214"/>
        <w:spacing w:after="0" w:line="234" w:lineRule="auto"/>
        <w:tabs>
          <w:tab w:leader="none" w:pos="780" w:val="left"/>
        </w:tabs>
        <w:numPr>
          <w:ilvl w:val="0"/>
          <w:numId w:val="96"/>
        </w:numPr>
        <w:rPr>
          <w:rFonts w:ascii="Arial" w:cs="Arial" w:eastAsia="Arial" w:hAnsi="Arial"/>
          <w:sz w:val="25"/>
          <w:szCs w:val="25"/>
          <w:color w:val="auto"/>
          <w:vertAlign w:val="superscript"/>
        </w:rPr>
      </w:pPr>
      <w:r>
        <w:rPr>
          <w:rFonts w:ascii="Arial" w:cs="Arial" w:eastAsia="Arial" w:hAnsi="Arial"/>
          <w:sz w:val="20"/>
          <w:szCs w:val="20"/>
          <w:color w:val="auto"/>
        </w:rPr>
        <w:t>(a) Covers shares of Class A Common Stock approved for issuance under the Medline Inc. 2025 Employee Stock Purchase Plan (the "ESPP"). (b) See note 1(b) above. (c) See note 1(c)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78105</wp:posOffset>
            </wp:positionV>
            <wp:extent cx="6398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42" w:lineRule="exact"/>
        <w:tabs>
          <w:tab w:leader="none" w:pos="952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63500</wp:posOffset>
            </wp:positionV>
            <wp:extent cx="7200900" cy="2335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00900" cy="2335530"/>
                    </a:xfrm>
                    <a:prstGeom prst="rect">
                      <a:avLst/>
                    </a:prstGeom>
                    <a:noFill/>
                  </pic:spPr>
                </pic:pic>
              </a:graphicData>
            </a:graphic>
          </wp:anchor>
        </w:drawing>
      </w:r>
    </w:p>
    <w:p>
      <w:pPr>
        <w:sectPr>
          <w:pgSz w:w="11900" w:h="16900" w:orient="portrait"/>
          <w:cols w:equalWidth="0" w:num="1">
            <w:col w:w="11240"/>
          </w:cols>
          <w:pgMar w:left="360" w:top="14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1240"/>
        <w:spacing w:after="0"/>
        <w:rPr>
          <w:sz w:val="20"/>
          <w:szCs w:val="20"/>
          <w:color w:val="auto"/>
        </w:rPr>
      </w:pPr>
      <w:r>
        <w:rPr>
          <w:rFonts w:ascii="Arial" w:cs="Arial" w:eastAsia="Arial" w:hAnsi="Arial"/>
          <w:sz w:val="20"/>
          <w:szCs w:val="20"/>
          <w:b w:val="1"/>
          <w:bCs w:val="1"/>
          <w:color w:val="auto"/>
        </w:rPr>
        <w:t>Registrant</w:t>
      </w:r>
    </w:p>
    <w:p>
      <w:pPr>
        <w:spacing w:after="0" w:line="15" w:lineRule="exact"/>
        <w:rPr>
          <w:sz w:val="20"/>
          <w:szCs w:val="20"/>
          <w:color w:val="auto"/>
        </w:rPr>
      </w:pPr>
    </w:p>
    <w:p>
      <w:pPr>
        <w:jc w:val="center"/>
        <w:ind w:left="1240"/>
        <w:spacing w:after="0"/>
        <w:rPr>
          <w:sz w:val="20"/>
          <w:szCs w:val="20"/>
          <w:color w:val="auto"/>
        </w:rPr>
      </w:pPr>
      <w:r>
        <w:rPr>
          <w:rFonts w:ascii="Arial" w:cs="Arial" w:eastAsia="Arial" w:hAnsi="Arial"/>
          <w:sz w:val="21"/>
          <w:szCs w:val="21"/>
          <w:b w:val="1"/>
          <w:bCs w:val="1"/>
          <w:color w:val="auto"/>
        </w:rPr>
        <w:t>or Filer</w:t>
      </w:r>
    </w:p>
    <w:p>
      <w:pPr>
        <w:jc w:val="center"/>
        <w:ind w:left="1240"/>
        <w:spacing w:after="0"/>
        <w:rPr>
          <w:sz w:val="20"/>
          <w:szCs w:val="20"/>
          <w:color w:val="auto"/>
        </w:rPr>
      </w:pPr>
      <w:r>
        <w:rPr>
          <w:rFonts w:ascii="Arial" w:cs="Arial" w:eastAsia="Arial" w:hAnsi="Arial"/>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10"/>
                <w:szCs w:val="10"/>
                <w:color w:val="auto"/>
              </w:rPr>
            </w:pPr>
          </w:p>
        </w:tc>
        <w:tc>
          <w:tcPr>
            <w:tcW w:w="5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0" w:type="dxa"/>
            <w:vAlign w:val="bottom"/>
          </w:tcPr>
          <w:p>
            <w:pPr>
              <w:spacing w:after="0"/>
              <w:rPr>
                <w:sz w:val="1"/>
                <w:szCs w:val="1"/>
                <w:color w:val="auto"/>
              </w:rPr>
            </w:pPr>
          </w:p>
        </w:tc>
      </w:tr>
      <w:tr>
        <w:trPr>
          <w:trHeight w:val="208"/>
        </w:trPr>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18"/>
                <w:szCs w:val="18"/>
                <w:color w:val="auto"/>
              </w:rPr>
            </w:pPr>
          </w:p>
        </w:tc>
        <w:tc>
          <w:tcPr>
            <w:tcW w:w="58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0" w:type="dxa"/>
            <w:vAlign w:val="bottom"/>
          </w:tcPr>
          <w:p>
            <w:pPr>
              <w:spacing w:after="0"/>
              <w:rPr>
                <w:sz w:val="1"/>
                <w:szCs w:val="1"/>
                <w:color w:val="auto"/>
              </w:rPr>
            </w:pPr>
          </w:p>
        </w:tc>
      </w:tr>
      <w:tr>
        <w:trPr>
          <w:trHeight w:val="284"/>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33"/>
        </w:trPr>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17"/>
        </w:trPr>
        <w:tc>
          <w:tcPr>
            <w:tcW w:w="8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10"/>
                <w:szCs w:val="1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w:t>
            </w:r>
          </w:p>
        </w:tc>
        <w:tc>
          <w:tcPr>
            <w:tcW w:w="0" w:type="dxa"/>
            <w:vAlign w:val="bottom"/>
          </w:tcPr>
          <w:p>
            <w:pPr>
              <w:spacing w:after="0"/>
              <w:rPr>
                <w:sz w:val="1"/>
                <w:szCs w:val="1"/>
                <w:color w:val="auto"/>
              </w:rPr>
            </w:pPr>
          </w:p>
        </w:tc>
      </w:tr>
      <w:tr>
        <w:trPr>
          <w:trHeight w:val="137"/>
        </w:trPr>
        <w:tc>
          <w:tcPr>
            <w:tcW w:w="840" w:type="dxa"/>
            <w:vAlign w:val="bottom"/>
            <w:shd w:val="clear" w:color="auto" w:fill="9ADAF6"/>
          </w:tcPr>
          <w:p>
            <w:pPr>
              <w:jc w:val="center"/>
              <w:spacing w:after="0" w:line="137"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8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2"/>
        </w:trPr>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33"/>
        </w:trPr>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0" w:type="dxa"/>
            <w:vAlign w:val="bottom"/>
          </w:tcPr>
          <w:p>
            <w:pPr>
              <w:spacing w:after="0"/>
              <w:rPr>
                <w:sz w:val="1"/>
                <w:szCs w:val="1"/>
                <w:color w:val="auto"/>
              </w:rPr>
            </w:pPr>
          </w:p>
        </w:tc>
      </w:tr>
      <w:tr>
        <w:trPr>
          <w:trHeight w:val="272"/>
        </w:trPr>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Rule 457(p)</w:t>
      </w:r>
    </w:p>
    <w:p>
      <w:pPr>
        <w:spacing w:after="0" w:line="35" w:lineRule="exact"/>
        <w:rPr>
          <w:sz w:val="20"/>
          <w:szCs w:val="20"/>
          <w:color w:val="auto"/>
        </w:rPr>
      </w:pPr>
    </w:p>
    <w:p>
      <w:pPr>
        <w:sectPr>
          <w:pgSz w:w="11900" w:h="16900" w:orient="portrait"/>
          <w:cols w:equalWidth="0" w:num="3">
            <w:col w:w="2260" w:space="40"/>
            <w:col w:w="2640" w:space="40"/>
            <w:col w:w="6260"/>
          </w:cols>
          <w:pgMar w:left="360" w:top="141" w:right="299" w:bottom="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Fee</w:t>
            </w:r>
          </w:p>
        </w:tc>
        <w:tc>
          <w:tcPr>
            <w:tcW w:w="20" w:type="dxa"/>
            <w:vAlign w:val="bottom"/>
          </w:tcPr>
          <w:p>
            <w:pPr>
              <w:spacing w:after="0"/>
              <w:rPr>
                <w:sz w:val="20"/>
                <w:szCs w:val="20"/>
                <w:color w:val="auto"/>
              </w:rPr>
            </w:pPr>
          </w:p>
        </w:tc>
        <w:tc>
          <w:tcPr>
            <w:tcW w:w="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ind w:left="24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580" w:type="dxa"/>
            <w:vAlign w:val="bottom"/>
            <w:shd w:val="clear" w:color="auto" w:fill="E7E7E2"/>
          </w:tcPr>
          <w:p>
            <w:pPr>
              <w:ind w:left="1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ind w:left="4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0" w:type="dxa"/>
            <w:vAlign w:val="bottom"/>
          </w:tcPr>
          <w:p>
            <w:pPr>
              <w:spacing w:after="0"/>
              <w:rPr>
                <w:sz w:val="1"/>
                <w:szCs w:val="1"/>
                <w:color w:val="auto"/>
              </w:rPr>
            </w:pPr>
          </w:p>
        </w:tc>
      </w:tr>
      <w:tr>
        <w:trPr>
          <w:trHeight w:val="272"/>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vMerge w:val="continue"/>
          </w:tcPr>
          <w:p>
            <w:pPr>
              <w:spacing w:after="0"/>
              <w:rPr>
                <w:sz w:val="19"/>
                <w:szCs w:val="19"/>
                <w:color w:val="auto"/>
              </w:rPr>
            </w:pPr>
          </w:p>
        </w:tc>
        <w:tc>
          <w:tcPr>
            <w:tcW w:w="10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600" w:type="dxa"/>
            <w:vAlign w:val="bottom"/>
            <w:shd w:val="clear" w:color="auto" w:fill="E7E7E2"/>
          </w:tcPr>
          <w:p>
            <w:pPr>
              <w:ind w:left="12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820" w:type="dxa"/>
            <w:vAlign w:val="bottom"/>
            <w:shd w:val="clear" w:color="auto" w:fill="E7E7E2"/>
          </w:tcPr>
          <w:p>
            <w:pPr>
              <w:ind w:left="24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580" w:type="dxa"/>
            <w:vAlign w:val="bottom"/>
            <w:shd w:val="clear" w:color="auto" w:fill="E7E7E2"/>
          </w:tcPr>
          <w:p>
            <w:pPr>
              <w:ind w:left="12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580" w:type="dxa"/>
            <w:vAlign w:val="bottom"/>
            <w:shd w:val="clear" w:color="auto" w:fill="E7E7E2"/>
          </w:tcPr>
          <w:p>
            <w:pPr>
              <w:ind w:left="120"/>
              <w:spacing w:after="0" w:line="220"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19"/>
                <w:szCs w:val="19"/>
                <w:color w:val="auto"/>
              </w:rPr>
            </w:pPr>
          </w:p>
        </w:tc>
        <w:tc>
          <w:tcPr>
            <w:tcW w:w="840" w:type="dxa"/>
            <w:vAlign w:val="bottom"/>
            <w:shd w:val="clear" w:color="auto" w:fill="E7E7E2"/>
          </w:tcPr>
          <w:p>
            <w:pPr>
              <w:ind w:left="48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vMerge w:val="continue"/>
          </w:tcPr>
          <w:p>
            <w:pPr>
              <w:spacing w:after="0"/>
              <w:rPr>
                <w:sz w:val="19"/>
                <w:szCs w:val="19"/>
                <w:color w:val="auto"/>
              </w:rPr>
            </w:pPr>
          </w:p>
        </w:tc>
        <w:tc>
          <w:tcPr>
            <w:tcW w:w="114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114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19"/>
                <w:szCs w:val="19"/>
                <w:color w:val="auto"/>
              </w:rPr>
            </w:pPr>
          </w:p>
        </w:tc>
        <w:tc>
          <w:tcPr>
            <w:tcW w:w="1140" w:type="dxa"/>
            <w:vAlign w:val="bottom"/>
            <w:shd w:val="clear" w:color="auto" w:fill="E7E7E2"/>
          </w:tcPr>
          <w:p>
            <w:pPr>
              <w:ind w:left="78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19"/>
                <w:szCs w:val="19"/>
                <w:color w:val="auto"/>
              </w:rPr>
            </w:pPr>
          </w:p>
        </w:tc>
        <w:tc>
          <w:tcPr>
            <w:tcW w:w="1140" w:type="dxa"/>
            <w:vAlign w:val="bottom"/>
            <w:shd w:val="clear" w:color="auto" w:fill="E7E7E2"/>
          </w:tcPr>
          <w:p>
            <w:pPr>
              <w:ind w:left="78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19"/>
                <w:szCs w:val="19"/>
                <w:color w:val="auto"/>
              </w:rPr>
            </w:pPr>
          </w:p>
        </w:tc>
        <w:tc>
          <w:tcPr>
            <w:tcW w:w="740" w:type="dxa"/>
            <w:vAlign w:val="bottom"/>
            <w:shd w:val="clear" w:color="auto" w:fill="E7E7E2"/>
          </w:tcPr>
          <w:p>
            <w:pPr>
              <w:ind w:left="380"/>
              <w:spacing w:after="0" w:line="220" w:lineRule="exact"/>
              <w:rPr>
                <w:sz w:val="20"/>
                <w:szCs w:val="20"/>
                <w:color w:val="auto"/>
              </w:rPr>
            </w:pPr>
            <w:r>
              <w:rPr>
                <w:rFonts w:ascii="Arial" w:cs="Arial" w:eastAsia="Arial" w:hAnsi="Arial"/>
                <w:sz w:val="21"/>
                <w:szCs w:val="21"/>
                <w:color w:val="auto"/>
                <w:w w:val="96"/>
              </w:rPr>
              <w:t>N/A</w:t>
            </w:r>
          </w:p>
        </w:tc>
        <w:tc>
          <w:tcPr>
            <w:tcW w:w="0" w:type="dxa"/>
            <w:vAlign w:val="bottom"/>
          </w:tcPr>
          <w:p>
            <w:pPr>
              <w:spacing w:after="0"/>
              <w:rPr>
                <w:sz w:val="1"/>
                <w:szCs w:val="1"/>
                <w:color w:val="auto"/>
              </w:rPr>
            </w:pPr>
          </w:p>
        </w:tc>
      </w:tr>
      <w:tr>
        <w:trPr>
          <w:trHeight w:val="274"/>
        </w:trPr>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Offset</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60" w:top="141" w:right="299" w:bottom="0" w:gutter="0" w:footer="0" w:header="0"/>
          <w:type w:val="continuous"/>
        </w:sectPr>
      </w:pPr>
    </w:p>
    <w:bookmarkStart w:id="57" w:name="page58"/>
    <w:bookmarkEnd w:id="57"/>
    <w:p>
      <w:pPr>
        <w:spacing w:after="0"/>
        <w:rPr>
          <w:sz w:val="20"/>
          <w:szCs w:val="20"/>
          <w:color w:val="auto"/>
        </w:rPr>
      </w:pPr>
      <w:r>
        <w:rPr>
          <w:rFonts w:ascii="Arial" w:cs="Arial" w:eastAsia="Arial" w:hAnsi="Arial"/>
          <w:sz w:val="15"/>
          <w:szCs w:val="15"/>
          <w:color w:val="auto"/>
          <w:shd w:val="clear" w:color="auto" w:fill="E7E7E2"/>
        </w:rPr>
        <w:t xml:space="preserve">Sources </w:t>
      </w:r>
      <w:r>
        <w:rPr>
          <w:sz w:val="1"/>
          <w:szCs w:val="1"/>
          <w:color w:val="auto"/>
        </w:rPr>
        <w:drawing>
          <wp:inline distT="0" distB="0" distL="0" distR="0">
            <wp:extent cx="238760" cy="15621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38760" cy="156210"/>
                    </a:xfrm>
                    <a:prstGeom prst="rect">
                      <a:avLst/>
                    </a:prstGeom>
                    <a:noFill/>
                    <a:ln>
                      <a:noFill/>
                    </a:ln>
                  </pic:spPr>
                </pic:pic>
              </a:graphicData>
            </a:graphic>
          </wp:inline>
        </w:drawing>
        <w:drawing>
          <wp:inline distT="0" distB="0" distL="0" distR="0">
            <wp:extent cx="674370" cy="15621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74370" cy="156210"/>
                    </a:xfrm>
                    <a:prstGeom prst="rect">
                      <a:avLst/>
                    </a:prstGeom>
                    <a:noFill/>
                    <a:ln>
                      <a:noFill/>
                    </a:ln>
                  </pic:spPr>
                </pic:pic>
              </a:graphicData>
            </a:graphic>
          </wp:inline>
        </w:drawing>
        <w:drawing>
          <wp:inline distT="0" distB="0" distL="0" distR="0">
            <wp:extent cx="370205" cy="15621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70205" cy="156210"/>
                    </a:xfrm>
                    <a:prstGeom prst="rect">
                      <a:avLst/>
                    </a:prstGeom>
                    <a:noFill/>
                    <a:ln>
                      <a:noFill/>
                    </a:ln>
                  </pic:spPr>
                </pic:pic>
              </a:graphicData>
            </a:graphic>
          </wp:inline>
        </w:drawing>
        <w:drawing>
          <wp:inline distT="0" distB="0" distL="0" distR="0">
            <wp:extent cx="518160" cy="15621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18160" cy="156210"/>
                    </a:xfrm>
                    <a:prstGeom prst="rect">
                      <a:avLst/>
                    </a:prstGeom>
                    <a:noFill/>
                    <a:ln>
                      <a:noFill/>
                    </a:ln>
                  </pic:spPr>
                </pic:pic>
              </a:graphicData>
            </a:graphic>
          </wp:inline>
        </w:drawing>
        <w:drawing>
          <wp:inline distT="0" distB="0" distL="0" distR="0">
            <wp:extent cx="370205" cy="15621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70205" cy="156210"/>
                    </a:xfrm>
                    <a:prstGeom prst="rect">
                      <a:avLst/>
                    </a:prstGeom>
                    <a:noFill/>
                    <a:ln>
                      <a:noFill/>
                    </a:ln>
                  </pic:spPr>
                </pic:pic>
              </a:graphicData>
            </a:graphic>
          </wp:inline>
        </w:drawing>
        <w:drawing>
          <wp:inline distT="0" distB="0" distL="0" distR="0">
            <wp:extent cx="370205" cy="15621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70205" cy="156210"/>
                    </a:xfrm>
                    <a:prstGeom prst="rect">
                      <a:avLst/>
                    </a:prstGeom>
                    <a:noFill/>
                    <a:ln>
                      <a:noFill/>
                    </a:ln>
                  </pic:spPr>
                </pic:pic>
              </a:graphicData>
            </a:graphic>
          </wp:inline>
        </w:drawing>
        <w:drawing>
          <wp:inline distT="0" distB="0" distL="0" distR="0">
            <wp:extent cx="534670" cy="15621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34670" cy="156210"/>
                    </a:xfrm>
                    <a:prstGeom prst="rect">
                      <a:avLst/>
                    </a:prstGeom>
                    <a:noFill/>
                    <a:ln>
                      <a:noFill/>
                    </a:ln>
                  </pic:spPr>
                </pic:pic>
              </a:graphicData>
            </a:graphic>
          </wp:inline>
        </w:drawing>
        <w:drawing>
          <wp:inline distT="0" distB="0" distL="0" distR="0">
            <wp:extent cx="723900" cy="15621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723900" cy="15621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723900" cy="15621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723900" cy="15621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468630" cy="15621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68630" cy="156210"/>
                    </a:xfrm>
                    <a:prstGeom prst="rect">
                      <a:avLst/>
                    </a:prstGeom>
                    <a:noFill/>
                    <a:ln>
                      <a:noFill/>
                    </a:ln>
                  </pic:spPr>
                </pic:pic>
              </a:graphicData>
            </a:graphic>
          </wp:inline>
        </w:drawing>
        <w:drawing>
          <wp:inline distT="0" distB="0" distL="0" distR="0">
            <wp:extent cx="5080" cy="18288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080" cy="1828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-182245</wp:posOffset>
            </wp:positionV>
            <wp:extent cx="7200900" cy="182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00900" cy="182880"/>
                    </a:xfrm>
                    <a:prstGeom prst="rect">
                      <a:avLst/>
                    </a:prstGeom>
                    <a:noFill/>
                  </pic:spPr>
                </pic:pic>
              </a:graphicData>
            </a:graphic>
          </wp:anchor>
        </w:drawing>
      </w:r>
    </w:p>
    <w:sectPr>
      <w:pgSz w:w="11900" w:h="16838" w:orient="portrait"/>
      <w:cols w:equalWidth="0" w:num="1">
        <w:col w:w="11280"/>
      </w:cols>
      <w:pgMar w:left="38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lowerLetter"/>
      <w:start w:val="1"/>
    </w:lvl>
  </w:abstractNum>
  <w:abstractNum w:abstractNumId="1">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2">
    <w:nsid w:val="579478F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
    <w:nsid w:val="749ABB43"/>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4">
    <w:nsid w:val="3DC240F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8">
    <w:nsid w:val="12E685FB"/>
    <w:multiLevelType w:val="hybridMultilevel"/>
    <w:lvl w:ilvl="0">
      <w:lvlJc w:val="left"/>
      <w:lvlText w:val="(%1)"/>
      <w:numFmt w:val="upperLetter"/>
      <w:start w:val="5"/>
    </w:lvl>
    <w:lvl w:ilvl="1">
      <w:lvlJc w:val="left"/>
      <w:lvlText w:val="(%2)"/>
      <w:numFmt w:val="lowerRoman"/>
      <w:start w:val="1"/>
    </w:lvl>
    <w:lvl w:ilvl="2">
      <w:lvlJc w:val="left"/>
      <w:lvlText w:val="(%3)"/>
      <w:numFmt w:val="lowerRoman"/>
      <w:start w:val="1"/>
    </w:lvl>
  </w:abstractNum>
  <w:abstractNum w:abstractNumId="9">
    <w:nsid w:val="70C6A529"/>
    <w:multiLevelType w:val="hybridMultilevel"/>
    <w:lvl w:ilvl="0">
      <w:lvlJc w:val="left"/>
      <w:lvlText w:val="%1"/>
      <w:numFmt w:val="lowerLetter"/>
      <w:start w:val="1"/>
    </w:lvl>
    <w:lvl w:ilvl="1">
      <w:lvlJc w:val="left"/>
      <w:lvlText w:val="(%2)"/>
      <w:numFmt w:val="lowerRoman"/>
      <w:start w:val="2"/>
    </w:lvl>
  </w:abstractNum>
  <w:abstractNum w:abstractNumId="10">
    <w:nsid w:val="520EEDD1"/>
    <w:multiLevelType w:val="hybridMultilevel"/>
    <w:lvl w:ilvl="0">
      <w:lvlJc w:val="left"/>
      <w:lvlText w:val="(%1)"/>
      <w:numFmt w:val="lowerLetter"/>
      <w:start w:val="10"/>
    </w:lvl>
    <w:lvl w:ilvl="1">
      <w:lvlJc w:val="left"/>
      <w:lvlText w:val="%2"/>
      <w:numFmt w:val="lowerRoman"/>
      <w:start w:val="1"/>
    </w:lvl>
  </w:abstractNum>
  <w:abstractNum w:abstractNumId="11">
    <w:nsid w:val="374A3FE6"/>
    <w:multiLevelType w:val="hybridMultilevel"/>
    <w:lvl w:ilvl="0">
      <w:lvlJc w:val="left"/>
      <w:lvlText w:val="(%1)"/>
      <w:numFmt w:val="lowerLetter"/>
      <w:start w:val="18"/>
    </w:lvl>
  </w:abstractNum>
  <w:abstractNum w:abstractNumId="12">
    <w:nsid w:val="4F4EF005"/>
    <w:multiLevelType w:val="hybridMultilevel"/>
    <w:lvl w:ilvl="0">
      <w:lvlJc w:val="left"/>
      <w:lvlText w:val="(%1)"/>
      <w:numFmt w:val="lowerLetter"/>
      <w:start w:val="25"/>
    </w:lvl>
  </w:abstractNum>
  <w:abstractNum w:abstractNumId="13">
    <w:nsid w:val="23F9C13C"/>
    <w:multiLevelType w:val="hybridMultilevel"/>
    <w:lvl w:ilvl="0">
      <w:lvlJc w:val="left"/>
      <w:lvlText w:val="(%1)"/>
      <w:numFmt w:val="lowerLetter"/>
      <w:start w:val="27"/>
    </w:lvl>
  </w:abstractNum>
  <w:abstractNum w:abstractNumId="14">
    <w:nsid w:val="649BB77C"/>
    <w:multiLevelType w:val="hybridMultilevel"/>
    <w:lvl w:ilvl="0">
      <w:lvlJc w:val="left"/>
      <w:lvlText w:val="%1"/>
      <w:numFmt w:val="lowerRoman"/>
      <w:start w:val="1"/>
    </w:lvl>
    <w:lvl w:ilvl="1">
      <w:lvlJc w:val="left"/>
      <w:lvlText w:val="(%2)"/>
      <w:numFmt w:val="lowerLetter"/>
      <w:start w:val="37"/>
    </w:lvl>
  </w:abstractNum>
  <w:abstractNum w:abstractNumId="15">
    <w:nsid w:val="275AC794"/>
    <w:multiLevelType w:val="hybridMultilevel"/>
    <w:lvl w:ilvl="0">
      <w:lvlJc w:val="left"/>
      <w:lvlText w:val="(%1)"/>
      <w:numFmt w:val="lowerRoman"/>
      <w:start w:val="17"/>
    </w:lvl>
    <w:lvl w:ilvl="1">
      <w:lvlJc w:val="left"/>
      <w:lvlText w:val="%2"/>
      <w:numFmt w:val="lowerLetter"/>
      <w:start w:val="1"/>
    </w:lvl>
  </w:abstractNum>
  <w:abstractNum w:abstractNumId="16">
    <w:nsid w:val="39386575"/>
    <w:multiLevelType w:val="hybridMultilevel"/>
    <w:lvl w:ilvl="0">
      <w:lvlJc w:val="left"/>
      <w:lvlText w:val="(%1)"/>
      <w:numFmt w:val="lowerRoman"/>
      <w:start w:val="23"/>
    </w:lvl>
    <w:lvl w:ilvl="1">
      <w:lvlJc w:val="left"/>
      <w:lvlText w:val="(%2)"/>
      <w:numFmt w:val="lowerLetter"/>
      <w:start w:val="39"/>
    </w:lvl>
  </w:abstractNum>
  <w:abstractNum w:abstractNumId="17">
    <w:nsid w:val="1CF10FD8"/>
    <w:multiLevelType w:val="hybridMultilevel"/>
    <w:lvl w:ilvl="0">
      <w:lvlJc w:val="left"/>
      <w:lvlText w:val="(%1)"/>
      <w:numFmt w:val="lowerLetter"/>
      <w:start w:val="42"/>
    </w:lvl>
  </w:abstractNum>
  <w:abstractNum w:abstractNumId="18">
    <w:nsid w:val="180115BE"/>
    <w:multiLevelType w:val="hybridMultilevel"/>
    <w:lvl w:ilvl="0">
      <w:lvlJc w:val="left"/>
      <w:lvlText w:val="(%1)"/>
      <w:numFmt w:val="lowerLetter"/>
      <w:start w:val="52"/>
    </w:lvl>
    <w:lvl w:ilvl="1">
      <w:lvlJc w:val="left"/>
      <w:lvlText w:val="(%2)"/>
      <w:numFmt w:val="lowerRoman"/>
      <w:start w:val="1"/>
    </w:lvl>
  </w:abstractNum>
  <w:abstractNum w:abstractNumId="19">
    <w:nsid w:val="235BA861"/>
    <w:multiLevelType w:val="hybridMultilevel"/>
    <w:lvl w:ilvl="0">
      <w:lvlJc w:val="left"/>
      <w:lvlText w:val="(%1)"/>
      <w:numFmt w:val="lowerLetter"/>
      <w:start w:val="53"/>
    </w:lvl>
  </w:abstractNum>
  <w:abstractNum w:abstractNumId="20">
    <w:nsid w:val="47398C89"/>
    <w:multiLevelType w:val="hybridMultilevel"/>
    <w:lvl w:ilvl="0">
      <w:lvlJc w:val="left"/>
      <w:lvlText w:val="%1."/>
      <w:numFmt w:val="decimal"/>
      <w:start w:val="3"/>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lowerLetter"/>
      <w:start w:val="3"/>
    </w:lvl>
  </w:abstractNum>
  <w:abstractNum w:abstractNumId="23">
    <w:nsid w:val="741226BB"/>
    <w:multiLevelType w:val="hybridMultilevel"/>
    <w:lvl w:ilvl="0">
      <w:lvlJc w:val="left"/>
      <w:lvlText w:val="(%1)"/>
      <w:numFmt w:val="lowerLetter"/>
      <w:start w:val="6"/>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3"/>
    </w:lvl>
  </w:abstractNum>
  <w:abstractNum w:abstractNumId="26">
    <w:nsid w:val="3F6AB60F"/>
    <w:multiLevelType w:val="hybridMultilevel"/>
    <w:lvl w:ilvl="0">
      <w:lvlJc w:val="left"/>
      <w:lvlText w:val="%1."/>
      <w:numFmt w:val="decimal"/>
      <w:start w:val="6"/>
    </w:lvl>
  </w:abstractNum>
  <w:abstractNum w:abstractNumId="27">
    <w:nsid w:val="61574095"/>
    <w:multiLevelType w:val="hybridMultilevel"/>
    <w:lvl w:ilvl="0">
      <w:lvlJc w:val="left"/>
      <w:lvlText w:val="(%1)"/>
      <w:numFmt w:val="lowerLetter"/>
      <w:start w:val="1"/>
    </w:lvl>
    <w:lvl w:ilvl="1">
      <w:lvlJc w:val="left"/>
      <w:lvlText w:val="(%2)"/>
      <w:numFmt w:val="lowerLetter"/>
      <w:start w:val="9"/>
    </w:lvl>
  </w:abstractNum>
  <w:abstractNum w:abstractNumId="28">
    <w:nsid w:val="7E0C57B1"/>
    <w:multiLevelType w:val="hybridMultilevel"/>
    <w:lvl w:ilvl="0">
      <w:lvlJc w:val="left"/>
      <w:lvlText w:val="%1"/>
      <w:numFmt w:val="lowerLetter"/>
      <w:start w:val="1"/>
    </w:lvl>
    <w:lvl w:ilvl="1">
      <w:lvlJc w:val="left"/>
      <w:lvlText w:val="(%2)"/>
      <w:numFmt w:val="lowerLetter"/>
      <w:start w:val="35"/>
    </w:lvl>
  </w:abstractNum>
  <w:abstractNum w:abstractNumId="29">
    <w:nsid w:val="77AE35EB"/>
    <w:multiLevelType w:val="hybridMultilevel"/>
    <w:lvl w:ilvl="0">
      <w:lvlJc w:val="left"/>
      <w:lvlText w:val="(%1)"/>
      <w:numFmt w:val="lowerLetter"/>
      <w:start w:val="4"/>
    </w:lvl>
    <w:lvl w:ilvl="1">
      <w:lvlJc w:val="left"/>
      <w:lvlText w:val="%2"/>
      <w:numFmt w:val="lowerLetter"/>
      <w:start w:val="1"/>
    </w:lvl>
  </w:abstractNum>
  <w:abstractNum w:abstractNumId="30">
    <w:nsid w:val="579BE4F1"/>
    <w:multiLevelType w:val="hybridMultilevel"/>
    <w:lvl w:ilvl="0">
      <w:lvlJc w:val="left"/>
      <w:lvlText w:val="(%1)"/>
      <w:numFmt w:val="lowerLetter"/>
      <w:start w:val="5"/>
    </w:lvl>
  </w:abstractNum>
  <w:abstractNum w:abstractNumId="31">
    <w:nsid w:val="310C50B3"/>
    <w:multiLevelType w:val="hybridMultilevel"/>
    <w:lvl w:ilvl="0">
      <w:lvlJc w:val="left"/>
      <w:lvlText w:val="(%1)"/>
      <w:numFmt w:val="lowerLetter"/>
      <w:start w:val="1"/>
    </w:lvl>
    <w:lvl w:ilvl="1">
      <w:lvlJc w:val="left"/>
      <w:lvlText w:val="(%2)"/>
      <w:numFmt w:val="lowerLetter"/>
      <w:start w:val="9"/>
    </w:lvl>
  </w:abstractNum>
  <w:abstractNum w:abstractNumId="32">
    <w:nsid w:val="5FF87E05"/>
    <w:multiLevelType w:val="hybridMultilevel"/>
    <w:lvl w:ilvl="0">
      <w:lvlJc w:val="left"/>
      <w:lvlText w:val="%1"/>
      <w:numFmt w:val="lowerLetter"/>
      <w:start w:val="1"/>
    </w:lvl>
    <w:lvl w:ilvl="1">
      <w:lvlJc w:val="left"/>
      <w:lvlText w:val="(%2)"/>
      <w:numFmt w:val="lowerLetter"/>
      <w:start w:val="35"/>
    </w:lvl>
  </w:abstractNum>
  <w:abstractNum w:abstractNumId="33">
    <w:nsid w:val="2F305DEF"/>
    <w:multiLevelType w:val="hybridMultilevel"/>
    <w:lvl w:ilvl="0">
      <w:lvlJc w:val="left"/>
      <w:lvlText w:val="(%1)"/>
      <w:numFmt w:val="lowerLetter"/>
      <w:start w:val="4"/>
    </w:lvl>
    <w:lvl w:ilvl="1">
      <w:lvlJc w:val="left"/>
      <w:lvlText w:val="%2"/>
      <w:numFmt w:val="lowerLetter"/>
      <w:start w:val="1"/>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3"/>
    </w:lvl>
    <w:lvl w:ilvl="1">
      <w:lvlJc w:val="left"/>
      <w:lvlText w:val="(%2)"/>
      <w:numFmt w:val="lowerRoman"/>
      <w:start w:val="1"/>
    </w:lvl>
  </w:abstractNum>
  <w:abstractNum w:abstractNumId="36">
    <w:nsid w:val="4AD084E9"/>
    <w:multiLevelType w:val="hybridMultilevel"/>
    <w:lvl w:ilvl="0">
      <w:lvlJc w:val="left"/>
      <w:lvlText w:val="%1"/>
      <w:numFmt w:val="lowerLetter"/>
      <w:start w:val="1"/>
    </w:lvl>
    <w:lvl w:ilvl="1">
      <w:lvlJc w:val="left"/>
      <w:lvlText w:val="(%2)"/>
      <w:numFmt w:val="lowerLetter"/>
      <w:start w:val="35"/>
    </w:lvl>
  </w:abstractNum>
  <w:abstractNum w:abstractNumId="37">
    <w:nsid w:val="1F48EAA1"/>
    <w:multiLevelType w:val="hybridMultilevel"/>
    <w:lvl w:ilvl="0">
      <w:lvlJc w:val="left"/>
      <w:lvlText w:val="(%1)"/>
      <w:numFmt w:val="lowerLetter"/>
      <w:start w:val="5"/>
    </w:lvl>
    <w:lvl w:ilvl="1">
      <w:lvlJc w:val="left"/>
      <w:lvlText w:val="%2"/>
      <w:numFmt w:val="lowerLetter"/>
      <w:start w:val="1"/>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lowerLetter"/>
      <w:start w:val="2"/>
    </w:lvl>
  </w:abstractNum>
  <w:abstractNum w:abstractNumId="40">
    <w:nsid w:val="100F8FCA"/>
    <w:multiLevelType w:val="hybridMultilevel"/>
    <w:lvl w:ilvl="0">
      <w:lvlJc w:val="left"/>
      <w:lvlText w:val="%1."/>
      <w:numFmt w:val="decimal"/>
      <w:start w:val="1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2"/>
    </w:lvl>
    <w:lvl w:ilvl="1">
      <w:lvlJc w:val="left"/>
      <w:lvlText w:val="(%2)"/>
      <w:numFmt w:val="lowerRoman"/>
      <w:start w:val="1"/>
    </w:lvl>
  </w:abstractNum>
  <w:abstractNum w:abstractNumId="43">
    <w:nsid w:val="5F5E7FD0"/>
    <w:multiLevelType w:val="hybridMultilevel"/>
    <w:lvl w:ilvl="0">
      <w:lvlJc w:val="left"/>
      <w:lvlText w:val="%1"/>
      <w:numFmt w:val="lowerLetter"/>
      <w:start w:val="1"/>
    </w:lvl>
    <w:lvl w:ilvl="1">
      <w:lvlJc w:val="left"/>
      <w:lvlText w:val="(%2)"/>
      <w:numFmt w:val="lowerLetter"/>
      <w:start w:val="3"/>
    </w:lvl>
  </w:abstractNum>
  <w:abstractNum w:abstractNumId="44">
    <w:nsid w:val="98A3148"/>
    <w:multiLevelType w:val="hybridMultilevel"/>
    <w:lvl w:ilvl="0">
      <w:lvlJc w:val="left"/>
      <w:lvlText w:val="(%1)"/>
      <w:numFmt w:val="lowerLetter"/>
      <w:start w:val="9"/>
    </w:lvl>
    <w:lvl w:ilvl="1">
      <w:lvlJc w:val="left"/>
      <w:lvlText w:val="(%2)"/>
      <w:numFmt w:val="lowerLetter"/>
      <w:start w:val="4"/>
    </w:lvl>
  </w:abstractNum>
  <w:abstractNum w:abstractNumId="45">
    <w:nsid w:val="799D0247"/>
    <w:multiLevelType w:val="hybridMultilevel"/>
    <w:lvl w:ilvl="0">
      <w:lvlJc w:val="left"/>
      <w:lvlText w:val="%1"/>
      <w:numFmt w:val="lowerLetter"/>
      <w:start w:val="1"/>
    </w:lvl>
    <w:lvl w:ilvl="1">
      <w:lvlJc w:val="left"/>
      <w:lvlText w:val="(%2)"/>
      <w:numFmt w:val="lowerLetter"/>
      <w:start w:val="1"/>
    </w:lvl>
  </w:abstractNum>
  <w:abstractNum w:abstractNumId="46">
    <w:nsid w:val="6B94764"/>
    <w:multiLevelType w:val="hybridMultilevel"/>
    <w:lvl w:ilvl="0">
      <w:lvlJc w:val="left"/>
      <w:lvlText w:val="(%1)"/>
      <w:numFmt w:val="lowerLetter"/>
      <w:start w:val="9"/>
    </w:lvl>
    <w:lvl w:ilvl="1">
      <w:lvlJc w:val="left"/>
      <w:lvlText w:val="%2"/>
      <w:numFmt w:val="lowerLetter"/>
      <w:start w:val="1"/>
    </w:lvl>
  </w:abstractNum>
  <w:abstractNum w:abstractNumId="47">
    <w:nsid w:val="42C296BD"/>
    <w:multiLevelType w:val="hybridMultilevel"/>
    <w:lvl w:ilvl="0">
      <w:lvlJc w:val="left"/>
      <w:lvlText w:val="(%1)"/>
      <w:numFmt w:val="lowerLetter"/>
      <w:start w:val="2"/>
    </w:lvl>
  </w:abstractNum>
  <w:abstractNum w:abstractNumId="48">
    <w:nsid w:val="168E121F"/>
    <w:multiLevelType w:val="hybridMultilevel"/>
    <w:lvl w:ilvl="0">
      <w:lvlJc w:val="left"/>
      <w:lvlText w:val="(%1)"/>
      <w:numFmt w:val="lowerLetter"/>
      <w:start w:val="1"/>
    </w:lvl>
    <w:lvl w:ilvl="1">
      <w:lvlJc w:val="left"/>
      <w:lvlText w:val="(%2)"/>
      <w:numFmt w:val="lowerRoman"/>
      <w:start w:val="1"/>
    </w:lvl>
  </w:abstractNum>
  <w:abstractNum w:abstractNumId="49">
    <w:nsid w:val="1EBA5D23"/>
    <w:multiLevelType w:val="hybridMultilevel"/>
    <w:lvl w:ilvl="0">
      <w:lvlJc w:val="left"/>
      <w:lvlText w:val="%1"/>
      <w:numFmt w:val="lowerLetter"/>
      <w:start w:val="1"/>
    </w:lvl>
    <w:lvl w:ilvl="1">
      <w:lvlJc w:val="left"/>
      <w:lvlText w:val="(%2)"/>
      <w:numFmt w:val="lowerLetter"/>
      <w:start w:val="61"/>
    </w:lvl>
  </w:abstractNum>
  <w:abstractNum w:abstractNumId="50">
    <w:nsid w:val="661E3F1E"/>
    <w:multiLevelType w:val="hybridMultilevel"/>
    <w:lvl w:ilvl="0">
      <w:lvlJc w:val="left"/>
      <w:lvlText w:val="(%1)"/>
      <w:numFmt w:val="lowerLetter"/>
      <w:start w:val="3"/>
    </w:lvl>
    <w:lvl w:ilvl="1">
      <w:lvlJc w:val="left"/>
      <w:lvlText w:val="(%2)"/>
      <w:numFmt w:val="lowerLetter"/>
      <w:start w:val="9"/>
    </w:lvl>
  </w:abstractNum>
  <w:abstractNum w:abstractNumId="51">
    <w:nsid w:val="5DC79EA8"/>
    <w:multiLevelType w:val="hybridMultilevel"/>
    <w:lvl w:ilvl="0">
      <w:lvlJc w:val="left"/>
      <w:lvlText w:val="(%1)"/>
      <w:numFmt w:val="lowerRoman"/>
      <w:start w:val="2"/>
    </w:lvl>
  </w:abstractNum>
  <w:abstractNum w:abstractNumId="52">
    <w:nsid w:val="540A471C"/>
    <w:multiLevelType w:val="hybridMultilevel"/>
    <w:lvl w:ilvl="0">
      <w:lvlJc w:val="left"/>
      <w:lvlText w:val="%1"/>
      <w:numFmt w:val="lowerLetter"/>
      <w:start w:val="1"/>
    </w:lvl>
    <w:lvl w:ilvl="1">
      <w:lvlJc w:val="left"/>
      <w:lvlText w:val="(%2)"/>
      <w:numFmt w:val="lowerLetter"/>
      <w:start w:val="61"/>
    </w:lvl>
  </w:abstractNum>
  <w:abstractNum w:abstractNumId="53">
    <w:nsid w:val="7BD3EE7B"/>
    <w:multiLevelType w:val="hybridMultilevel"/>
    <w:lvl w:ilvl="0">
      <w:lvlJc w:val="left"/>
      <w:lvlText w:val="(%1)"/>
      <w:numFmt w:val="lowerLetter"/>
      <w:start w:val="4"/>
    </w:lvl>
    <w:lvl w:ilvl="1">
      <w:lvlJc w:val="left"/>
      <w:lvlText w:val="(%2)"/>
      <w:numFmt w:val="lowerLetter"/>
      <w:start w:val="9"/>
    </w:lvl>
  </w:abstractNum>
  <w:abstractNum w:abstractNumId="54">
    <w:nsid w:val="51D9C564"/>
    <w:multiLevelType w:val="hybridMultilevel"/>
    <w:lvl w:ilvl="0">
      <w:lvlJc w:val="left"/>
      <w:lvlText w:val="(%1)"/>
      <w:numFmt w:val="lowerRoman"/>
      <w:start w:val="2"/>
    </w:lvl>
  </w:abstractNum>
  <w:abstractNum w:abstractNumId="55">
    <w:nsid w:val="613EFDC5"/>
    <w:multiLevelType w:val="hybridMultilevel"/>
    <w:lvl w:ilvl="0">
      <w:lvlJc w:val="left"/>
      <w:lvlText w:val="(%1)"/>
      <w:numFmt w:val="lowerLetter"/>
      <w:start w:val="5"/>
    </w:lvl>
  </w:abstractNum>
  <w:abstractNum w:abstractNumId="56">
    <w:nsid w:val="BF72B14"/>
    <w:multiLevelType w:val="hybridMultilevel"/>
    <w:lvl w:ilvl="0">
      <w:lvlJc w:val="left"/>
      <w:lvlText w:val="(%1)"/>
      <w:numFmt w:val="lowerLetter"/>
      <w:start w:val="8"/>
    </w:lvl>
    <w:lvl w:ilvl="1">
      <w:lvlJc w:val="left"/>
      <w:lvlText w:val="(%2)"/>
      <w:numFmt w:val="lowerLetter"/>
      <w:start w:val="9"/>
    </w:lvl>
  </w:abstractNum>
  <w:abstractNum w:abstractNumId="57">
    <w:nsid w:val="11447B73"/>
    <w:multiLevelType w:val="hybridMultilevel"/>
    <w:lvl w:ilvl="0">
      <w:lvlJc w:val="left"/>
      <w:lvlText w:val="%1"/>
      <w:numFmt w:val="lowerLetter"/>
      <w:start w:val="1"/>
    </w:lvl>
    <w:lvl w:ilvl="1">
      <w:lvlJc w:val="left"/>
      <w:lvlText w:val="(%2)"/>
      <w:numFmt w:val="lowerLetter"/>
      <w:start w:val="35"/>
    </w:lvl>
  </w:abstractNum>
  <w:abstractNum w:abstractNumId="58">
    <w:nsid w:val="42963E5A"/>
    <w:multiLevelType w:val="hybridMultilevel"/>
    <w:lvl w:ilvl="0">
      <w:lvlJc w:val="left"/>
      <w:lvlText w:val="(%1)"/>
      <w:numFmt w:val="lowerLetter"/>
      <w:start w:val="12"/>
    </w:lvl>
    <w:lvl w:ilvl="1">
      <w:lvlJc w:val="left"/>
      <w:lvlText w:val="%2"/>
      <w:numFmt w:val="lowerLetter"/>
      <w:start w:val="1"/>
    </w:lvl>
  </w:abstractNum>
  <w:abstractNum w:abstractNumId="59">
    <w:nsid w:val="A0382C5"/>
    <w:multiLevelType w:val="hybridMultilevel"/>
    <w:lvl w:ilvl="0">
      <w:lvlJc w:val="left"/>
      <w:lvlText w:val="(%1)"/>
      <w:numFmt w:val="lowerLetter"/>
      <w:start w:val="13"/>
    </w:lvl>
  </w:abstractNum>
  <w:abstractNum w:abstractNumId="60">
    <w:nsid w:val="8F2B15E"/>
    <w:multiLevelType w:val="hybridMultilevel"/>
    <w:lvl w:ilvl="0">
      <w:lvlJc w:val="left"/>
      <w:lvlText w:val="(%1)"/>
      <w:numFmt w:val="lowerLetter"/>
      <w:start w:val="19"/>
    </w:lvl>
    <w:lvl w:ilvl="1">
      <w:lvlJc w:val="left"/>
      <w:lvlText w:val="(%2)"/>
      <w:numFmt w:val="lowerRoman"/>
      <w:start w:val="1"/>
    </w:lvl>
  </w:abstractNum>
  <w:abstractNum w:abstractNumId="61">
    <w:nsid w:val="1A32234B"/>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62">
    <w:nsid w:val="3B0FD379"/>
    <w:multiLevelType w:val="hybridMultilevel"/>
    <w:lvl w:ilvl="0">
      <w:lvlJc w:val="left"/>
      <w:lvlText w:val="(%1)"/>
      <w:numFmt w:val="lowerLetter"/>
      <w:start w:val="9"/>
    </w:lvl>
    <w:lvl w:ilvl="1">
      <w:lvlJc w:val="left"/>
      <w:lvlText w:val="(%2)"/>
      <w:numFmt w:val="lowerLetter"/>
      <w:start w:val="23"/>
    </w:lvl>
    <w:lvl w:ilvl="2">
      <w:lvlJc w:val="left"/>
      <w:lvlText w:val="(%3)"/>
      <w:numFmt w:val="lowerRoman"/>
      <w:start w:val="1"/>
    </w:lvl>
  </w:abstractNum>
  <w:abstractNum w:abstractNumId="63">
    <w:nsid w:val="68EB2F63"/>
    <w:multiLevelType w:val="hybridMultilevel"/>
    <w:lvl w:ilvl="0">
      <w:lvlJc w:val="left"/>
      <w:lvlText w:val="%1."/>
      <w:numFmt w:val="decimal"/>
      <w:start w:val="1"/>
    </w:lvl>
    <w:lvl w:ilvl="1">
      <w:lvlJc w:val="left"/>
      <w:lvlText w:val="(%2)"/>
      <w:numFmt w:val="lowerLetter"/>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5"/>
    </w:lvl>
    <w:lvl w:ilvl="1">
      <w:lvlJc w:val="left"/>
      <w:lvlText w:val="(%2)"/>
      <w:numFmt w:val="lowerRoman"/>
      <w:start w:val="1"/>
    </w:lvl>
  </w:abstractNum>
  <w:abstractNum w:abstractNumId="66">
    <w:nsid w:val="6A5EE64"/>
    <w:multiLevelType w:val="hybridMultilevel"/>
    <w:lvl w:ilvl="0">
      <w:lvlJc w:val="left"/>
      <w:lvlText w:val="(%1)"/>
      <w:numFmt w:val="lowerLetter"/>
      <w:start w:val="13"/>
    </w:lvl>
  </w:abstractNum>
  <w:abstractNum w:abstractNumId="67">
    <w:nsid w:val="14330624"/>
    <w:multiLevelType w:val="hybridMultilevel"/>
    <w:lvl w:ilvl="0">
      <w:lvlJc w:val="left"/>
      <w:lvlText w:val="(%1)"/>
      <w:numFmt w:val="lowerLetter"/>
      <w:start w:val="16"/>
    </w:lvl>
  </w:abstractNum>
  <w:abstractNum w:abstractNumId="68">
    <w:nsid w:val="7FFFCA11"/>
    <w:multiLevelType w:val="hybridMultilevel"/>
    <w:lvl w:ilvl="0">
      <w:lvlJc w:val="left"/>
      <w:lvlText w:val="(%1)"/>
      <w:numFmt w:val="lowerLetter"/>
      <w:start w:val="24"/>
    </w:lvl>
  </w:abstractNum>
  <w:abstractNum w:abstractNumId="69">
    <w:nsid w:val="1A27709E"/>
    <w:multiLevelType w:val="hybridMultilevel"/>
    <w:lvl w:ilvl="0">
      <w:lvlJc w:val="left"/>
      <w:lvlText w:val="%1"/>
      <w:numFmt w:val="decimal"/>
      <w:start w:val="1"/>
    </w:lvl>
    <w:lvl w:ilvl="1">
      <w:lvlJc w:val="left"/>
      <w:lvlText w:val="(%2)"/>
      <w:numFmt w:val="lowerLetter"/>
      <w:start w:val="27"/>
    </w:lvl>
  </w:abstractNum>
  <w:abstractNum w:abstractNumId="70">
    <w:nsid w:val="71EA1109"/>
    <w:multiLevelType w:val="hybridMultilevel"/>
    <w:lvl w:ilvl="0">
      <w:lvlJc w:val="left"/>
      <w:lvlText w:val="%1."/>
      <w:numFmt w:val="decimal"/>
      <w:start w:val="3"/>
    </w:lvl>
    <w:lvl w:ilvl="1">
      <w:lvlJc w:val="left"/>
      <w:lvlText w:val="(%2)"/>
      <w:numFmt w:val="lowerLetter"/>
      <w:start w:val="1"/>
    </w:lvl>
  </w:abstractNum>
  <w:abstractNum w:abstractNumId="71">
    <w:nsid w:val="100F59DC"/>
    <w:multiLevelType w:val="hybridMultilevel"/>
    <w:lvl w:ilvl="0">
      <w:lvlJc w:val="left"/>
      <w:lvlText w:val="%1"/>
      <w:numFmt w:val="lowerRoman"/>
      <w:start w:val="1"/>
    </w:lvl>
    <w:lvl w:ilvl="1">
      <w:lvlJc w:val="left"/>
      <w:lvlText w:val="(%2)"/>
      <w:numFmt w:val="lowerLetter"/>
      <w:start w:val="3"/>
    </w:lvl>
  </w:abstractNum>
  <w:abstractNum w:abstractNumId="72">
    <w:nsid w:val="7FB7E0AA"/>
    <w:multiLevelType w:val="hybridMultilevel"/>
    <w:lvl w:ilvl="0">
      <w:lvlJc w:val="left"/>
      <w:lvlText w:val="(%1)"/>
      <w:numFmt w:val="lowerRoman"/>
      <w:start w:val="12"/>
    </w:lvl>
    <w:lvl w:ilvl="1">
      <w:lvlJc w:val="left"/>
      <w:lvlText w:val="%2"/>
      <w:numFmt w:val="lowerLetter"/>
      <w:start w:val="1"/>
    </w:lvl>
  </w:abstractNum>
  <w:abstractNum w:abstractNumId="73">
    <w:nsid w:val="6EB5BD4"/>
    <w:multiLevelType w:val="hybridMultilevel"/>
    <w:lvl w:ilvl="0">
      <w:lvlJc w:val="left"/>
      <w:lvlText w:val="%1."/>
      <w:numFmt w:val="decimal"/>
      <w:start w:val="4"/>
    </w:lvl>
    <w:lvl w:ilvl="1">
      <w:lvlJc w:val="left"/>
      <w:lvlText w:val="(%2)"/>
      <w:numFmt w:val="lowerLetter"/>
      <w:start w:val="1"/>
    </w:lvl>
  </w:abstractNum>
  <w:abstractNum w:abstractNumId="74">
    <w:nsid w:val="6F6DD9AC"/>
    <w:multiLevelType w:val="hybridMultilevel"/>
    <w:lvl w:ilvl="0">
      <w:lvlJc w:val="left"/>
      <w:lvlText w:val="%1"/>
      <w:numFmt w:val="decimal"/>
      <w:start w:val="1"/>
    </w:lvl>
    <w:lvl w:ilvl="1">
      <w:lvlJc w:val="left"/>
      <w:lvlText w:val="(%2)"/>
      <w:numFmt w:val="lowerLetter"/>
      <w:start w:val="2"/>
    </w:lvl>
  </w:abstractNum>
  <w:abstractNum w:abstractNumId="75">
    <w:nsid w:val="94211F2"/>
    <w:multiLevelType w:val="hybridMultilevel"/>
    <w:lvl w:ilvl="0">
      <w:lvlJc w:val="left"/>
      <w:lvlText w:val="%1."/>
      <w:numFmt w:val="decimal"/>
      <w:start w:val="5"/>
    </w:lvl>
    <w:lvl w:ilvl="1">
      <w:lvlJc w:val="left"/>
      <w:lvlText w:val="(%2)"/>
      <w:numFmt w:val="lowerLetter"/>
      <w:start w:val="1"/>
    </w:lvl>
  </w:abstractNum>
  <w:abstractNum w:abstractNumId="76">
    <w:nsid w:val="885E1B"/>
    <w:multiLevelType w:val="hybridMultilevel"/>
    <w:lvl w:ilvl="0">
      <w:lvlJc w:val="left"/>
      <w:lvlText w:val="(%1)"/>
      <w:numFmt w:val="lowerLetter"/>
      <w:start w:val="2"/>
    </w:lvl>
  </w:abstractNum>
  <w:abstractNum w:abstractNumId="77">
    <w:nsid w:val="76272110"/>
    <w:multiLevelType w:val="hybridMultilevel"/>
    <w:lvl w:ilvl="0">
      <w:lvlJc w:val="left"/>
      <w:lvlText w:val="%1"/>
      <w:numFmt w:val="lowerLetter"/>
      <w:start w:val="1"/>
    </w:lvl>
    <w:lvl w:ilvl="1">
      <w:lvlJc w:val="left"/>
      <w:lvlText w:val="(%2)"/>
      <w:numFmt w:val="lowerLetter"/>
      <w:start w:val="7"/>
    </w:lvl>
  </w:abstractNum>
  <w:abstractNum w:abstractNumId="78">
    <w:nsid w:val="4C04A8AF"/>
    <w:multiLevelType w:val="hybridMultilevel"/>
    <w:lvl w:ilvl="0">
      <w:lvlJc w:val="left"/>
      <w:lvlText w:val="(%1)"/>
      <w:numFmt w:val="lowerLetter"/>
      <w:start w:val="9"/>
    </w:lvl>
    <w:lvl w:ilvl="1">
      <w:lvlJc w:val="left"/>
      <w:lvlText w:val="(%2)"/>
      <w:numFmt w:val="lowerLetter"/>
      <w:start w:val="9"/>
    </w:lvl>
  </w:abstractNum>
  <w:abstractNum w:abstractNumId="79">
    <w:nsid w:val="1716703B"/>
    <w:multiLevelType w:val="hybridMultilevel"/>
    <w:lvl w:ilvl="0">
      <w:lvlJc w:val="left"/>
      <w:lvlText w:val="%1."/>
      <w:numFmt w:val="decimal"/>
      <w:start w:val="6"/>
    </w:lvl>
    <w:lvl w:ilvl="1">
      <w:lvlJc w:val="left"/>
      <w:lvlText w:val="(%2)"/>
      <w:numFmt w:val="lowerLetter"/>
      <w:start w:val="1"/>
    </w:lvl>
  </w:abstractNum>
  <w:abstractNum w:abstractNumId="80">
    <w:nsid w:val="14E17E33"/>
    <w:multiLevelType w:val="hybridMultilevel"/>
    <w:lvl w:ilvl="0">
      <w:lvlJc w:val="left"/>
      <w:lvlText w:val="%1"/>
      <w:numFmt w:val="decimal"/>
      <w:start w:val="1"/>
    </w:lvl>
    <w:lvl w:ilvl="1">
      <w:lvlJc w:val="left"/>
      <w:lvlText w:val="(%2)"/>
      <w:numFmt w:val="lowerLetter"/>
      <w:start w:val="2"/>
    </w:lvl>
  </w:abstractNum>
  <w:abstractNum w:abstractNumId="81">
    <w:nsid w:val="3222E7CD"/>
    <w:multiLevelType w:val="hybridMultilevel"/>
    <w:lvl w:ilvl="0">
      <w:lvlJc w:val="left"/>
      <w:lvlText w:val="%1."/>
      <w:numFmt w:val="decimal"/>
      <w:start w:val="7"/>
    </w:lvl>
    <w:lvl w:ilvl="1">
      <w:lvlJc w:val="left"/>
      <w:lvlText w:val="(%2)"/>
      <w:numFmt w:val="lowerLetter"/>
      <w:start w:val="1"/>
    </w:lvl>
  </w:abstractNum>
  <w:abstractNum w:abstractNumId="82">
    <w:nsid w:val="74DE0EE3"/>
    <w:multiLevelType w:val="hybridMultilevel"/>
    <w:lvl w:ilvl="0">
      <w:lvlJc w:val="left"/>
      <w:lvlText w:val="%1."/>
      <w:numFmt w:val="decimal"/>
      <w:start w:val="8"/>
    </w:lvl>
    <w:lvl w:ilvl="1">
      <w:lvlJc w:val="left"/>
      <w:lvlText w:val="(%2)"/>
      <w:numFmt w:val="lowerLetter"/>
      <w:start w:val="1"/>
    </w:lvl>
  </w:abstractNum>
  <w:abstractNum w:abstractNumId="83">
    <w:nsid w:val="68EBC550"/>
    <w:multiLevelType w:val="hybridMultilevel"/>
    <w:lvl w:ilvl="0">
      <w:lvlJc w:val="left"/>
      <w:lvlText w:val="%1."/>
      <w:numFmt w:val="decimal"/>
      <w:start w:val="10"/>
    </w:lvl>
    <w:lvl w:ilvl="1">
      <w:lvlJc w:val="left"/>
      <w:lvlText w:val="(%2)"/>
      <w:numFmt w:val="lowerLetter"/>
      <w:start w:val="1"/>
    </w:lvl>
  </w:abstractNum>
  <w:abstractNum w:abstractNumId="84">
    <w:nsid w:val="2DF6D648"/>
    <w:multiLevelType w:val="hybridMultilevel"/>
    <w:lvl w:ilvl="0">
      <w:lvlJc w:val="left"/>
      <w:lvlText w:val="%1."/>
      <w:numFmt w:val="decimal"/>
      <w:start w:val="12"/>
    </w:lvl>
    <w:lvl w:ilvl="1">
      <w:lvlJc w:val="left"/>
      <w:lvlText w:val="(%2)"/>
      <w:numFmt w:val="lowerLetter"/>
      <w:start w:val="1"/>
    </w:lvl>
  </w:abstractNum>
  <w:abstractNum w:abstractNumId="85">
    <w:nsid w:val="46B7D4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4A2AC31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7">
    <w:nsid w:val="39EE015C"/>
    <w:multiLevelType w:val="hybridMultilevel"/>
    <w:lvl w:ilvl="0">
      <w:lvlJc w:val="left"/>
      <w:lvlText w:val="%1."/>
      <w:numFmt w:val="decimal"/>
      <w:start w:val="14"/>
    </w:lvl>
  </w:abstractNum>
  <w:abstractNum w:abstractNumId="88">
    <w:nsid w:val="57FC4FBB"/>
    <w:multiLevelType w:val="hybridMultilevel"/>
    <w:lvl w:ilvl="0">
      <w:lvlJc w:val="left"/>
      <w:lvlText w:val="%1."/>
      <w:numFmt w:val="decimal"/>
      <w:start w:val="15"/>
    </w:lvl>
    <w:lvl w:ilvl="1">
      <w:lvlJc w:val="left"/>
      <w:lvlText w:val="(%2)"/>
      <w:numFmt w:val="lowerLetter"/>
      <w:start w:val="1"/>
    </w:lvl>
  </w:abstractNum>
  <w:abstractNum w:abstractNumId="89">
    <w:nsid w:val="CC1016F"/>
    <w:multiLevelType w:val="hybridMultilevel"/>
    <w:lvl w:ilvl="0">
      <w:lvlJc w:val="left"/>
      <w:lvlText w:val="(%1)"/>
      <w:numFmt w:val="lowerLetter"/>
      <w:start w:val="5"/>
    </w:lvl>
  </w:abstractNum>
  <w:abstractNum w:abstractNumId="90">
    <w:nsid w:val="43F18422"/>
    <w:multiLevelType w:val="hybridMultilevel"/>
    <w:lvl w:ilvl="0">
      <w:lvlJc w:val="left"/>
      <w:lvlText w:val="%1"/>
      <w:numFmt w:val="lowerLetter"/>
      <w:start w:val="1"/>
    </w:lvl>
    <w:lvl w:ilvl="1">
      <w:lvlJc w:val="left"/>
      <w:lvlText w:val="(%2)"/>
      <w:numFmt w:val="lowerLetter"/>
      <w:start w:val="14"/>
    </w:lvl>
  </w:abstractNum>
  <w:abstractNum w:abstractNumId="91">
    <w:nsid w:val="60EF0119"/>
    <w:multiLevelType w:val="hybridMultilevel"/>
    <w:lvl w:ilvl="0">
      <w:lvlJc w:val="left"/>
      <w:lvlText w:val="(%1)"/>
      <w:numFmt w:val="lowerLetter"/>
      <w:start w:val="35"/>
    </w:lvl>
    <w:lvl w:ilvl="1">
      <w:lvlJc w:val="left"/>
      <w:lvlText w:val="(%2)"/>
      <w:numFmt w:val="lowerLetter"/>
      <w:start w:val="17"/>
    </w:lvl>
  </w:abstractNum>
  <w:abstractNum w:abstractNumId="92">
    <w:nsid w:val="26F324BA"/>
    <w:multiLevelType w:val="hybridMultilevel"/>
    <w:lvl w:ilvl="0">
      <w:lvlJc w:val="left"/>
      <w:lvlText w:val="%1"/>
      <w:numFmt w:val="decimal"/>
      <w:start w:val="1"/>
    </w:lvl>
    <w:lvl w:ilvl="1">
      <w:lvlJc w:val="left"/>
      <w:lvlText w:val="(%2)"/>
      <w:numFmt w:val="lowerLetter"/>
      <w:start w:val="19"/>
    </w:lvl>
  </w:abstractNum>
  <w:abstractNum w:abstractNumId="93">
    <w:nsid w:val="7F01579B"/>
    <w:multiLevelType w:val="hybridMultilevel"/>
    <w:lvl w:ilvl="0">
      <w:lvlJc w:val="left"/>
      <w:lvlText w:val="%1."/>
      <w:numFmt w:val="decimal"/>
      <w:start w:val="16"/>
    </w:lvl>
    <w:lvl w:ilvl="1">
      <w:lvlJc w:val="left"/>
      <w:lvlText w:val="%2"/>
      <w:numFmt w:val="lowerLetter"/>
      <w:start w:val="1"/>
    </w:lvl>
  </w:abstractNum>
  <w:abstractNum w:abstractNumId="94">
    <w:nsid w:val="49DA307D"/>
    <w:multiLevelType w:val="hybridMultilevel"/>
    <w:lvl w:ilvl="0">
      <w:lvlJc w:val="left"/>
      <w:lvlText w:val="1"/>
      <w:numFmt w:val="bullet"/>
      <w:start w:val="1"/>
    </w:lvl>
  </w:abstractNum>
  <w:abstractNum w:abstractNumId="95">
    <w:nsid w:val="7055A5F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16" Type="http://schemas.openxmlformats.org/officeDocument/2006/relationships/hyperlink" Target="http://www.sec.gov/Archives/edgar/data/2046386/000119312525264798/d55108dex31.htm" TargetMode="External"/><Relationship Id="rId17" Type="http://schemas.openxmlformats.org/officeDocument/2006/relationships/hyperlink" Target="http://www.sec.gov/Archives/edgar/data/2046386/000119312525264798/d5510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2025-12-16T16:12:18Z</dcterms:created>
  <dcterms:modified xsi:type="dcterms:W3CDTF">2025-12-16T16:12:18Z</dcterms:modified>
</cp:coreProperties>
</file>