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5511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51180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Mills Charles N.</w:t>
              </w:r>
            </w:hyperlink>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Medline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MDLN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360" w:type="dxa"/>
            <w:vAlign w:val="bottom"/>
            <w:tcBorders>
              <w:bottom w:val="single" w:sz="8" w:color="0000EE"/>
            </w:tcBorders>
            <w:gridSpan w:val="2"/>
            <w:vMerge w:val="continue"/>
          </w:tcPr>
          <w:p>
            <w:pPr>
              <w:spacing w:after="0"/>
              <w:rPr>
                <w:sz w:val="5"/>
                <w:szCs w:val="5"/>
                <w:color w:val="auto"/>
              </w:rPr>
            </w:pPr>
          </w:p>
        </w:tc>
        <w:tc>
          <w:tcPr>
            <w:tcW w:w="10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360" w:type="dxa"/>
            <w:vAlign w:val="bottom"/>
            <w:gridSpan w:val="2"/>
          </w:tcPr>
          <w:p>
            <w:pPr>
              <w:spacing w:after="0"/>
              <w:rPr>
                <w:sz w:val="6"/>
                <w:szCs w:val="6"/>
                <w:color w:val="auto"/>
              </w:rPr>
            </w:pPr>
          </w:p>
        </w:tc>
        <w:tc>
          <w:tcPr>
            <w:tcW w:w="10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12/16/2025</w:t>
            </w:r>
          </w:p>
        </w:tc>
        <w:tc>
          <w:tcPr>
            <w:tcW w:w="27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MEDLINE INC.</w:t>
            </w:r>
          </w:p>
        </w:tc>
        <w:tc>
          <w:tcPr>
            <w:tcW w:w="12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27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6"/>
              </w:rPr>
              <w:t>3 LAKES DRIVE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NORTHFIELD</w:t>
            </w:r>
          </w:p>
        </w:tc>
        <w:tc>
          <w:tcPr>
            <w:tcW w:w="90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60093</w:t>
            </w:r>
          </w:p>
        </w:tc>
      </w:tr>
      <w:tr>
        <w:trPr>
          <w:trHeight w:val="147"/>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5"/>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tcPr>
          <w:p>
            <w:pPr>
              <w:jc w:val="center"/>
              <w:ind w:right="51"/>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12/16/2025</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vMerge w:val="restart"/>
          </w:tcPr>
          <w:p>
            <w:pPr>
              <w:jc w:val="center"/>
              <w:ind w:left="75"/>
              <w:spacing w:after="0"/>
              <w:rPr>
                <w:sz w:val="20"/>
                <w:szCs w:val="20"/>
                <w:color w:val="auto"/>
              </w:rPr>
            </w:pPr>
            <w:r>
              <w:rPr>
                <w:rFonts w:ascii="Times New Roman" w:cs="Times New Roman" w:eastAsia="Times New Roman" w:hAnsi="Times New Roman"/>
                <w:sz w:val="17"/>
                <w:szCs w:val="17"/>
                <w:color w:val="0000FF"/>
                <w:w w:val="98"/>
              </w:rPr>
              <w:t>64,005</w:t>
            </w:r>
          </w:p>
        </w:tc>
        <w:tc>
          <w:tcPr>
            <w:tcW w:w="40" w:type="dxa"/>
            <w:vAlign w:val="bottom"/>
          </w:tcPr>
          <w:p>
            <w:pPr>
              <w:spacing w:after="0"/>
              <w:rPr>
                <w:sz w:val="21"/>
                <w:szCs w:val="21"/>
                <w:color w:val="auto"/>
              </w:rPr>
            </w:pP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64,005</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82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2"/>
            <w:vMerge w:val="restart"/>
          </w:tcPr>
          <w:p>
            <w:pPr>
              <w:ind w:left="840"/>
              <w:spacing w:after="0"/>
              <w:rPr>
                <w:sz w:val="20"/>
                <w:szCs w:val="20"/>
                <w:color w:val="auto"/>
              </w:rPr>
            </w:pPr>
            <w:r>
              <w:rPr>
                <w:rFonts w:ascii="Times New Roman" w:cs="Times New Roman" w:eastAsia="Times New Roman" w:hAnsi="Times New Roman"/>
                <w:sz w:val="17"/>
                <w:szCs w:val="17"/>
                <w:color w:val="0000FF"/>
              </w:rPr>
              <w:t>12/18/2025</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(3)</w:t>
            </w:r>
          </w:p>
        </w:tc>
        <w:tc>
          <w:tcPr>
            <w:tcW w:w="760" w:type="dxa"/>
            <w:vAlign w:val="bottom"/>
            <w:gridSpan w:val="2"/>
            <w:vMerge w:val="restart"/>
          </w:tcPr>
          <w:p>
            <w:pPr>
              <w:jc w:val="center"/>
              <w:ind w:left="35"/>
              <w:spacing w:after="0"/>
              <w:rPr>
                <w:sz w:val="20"/>
                <w:szCs w:val="20"/>
                <w:color w:val="auto"/>
              </w:rPr>
            </w:pPr>
            <w:r>
              <w:rPr>
                <w:rFonts w:ascii="Times New Roman" w:cs="Times New Roman" w:eastAsia="Times New Roman" w:hAnsi="Times New Roman"/>
                <w:sz w:val="17"/>
                <w:szCs w:val="17"/>
                <w:color w:val="0000FF"/>
                <w:w w:val="96"/>
              </w:rPr>
              <w:t>2,441,379</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29</w:t>
            </w:r>
          </w:p>
        </w:tc>
        <w:tc>
          <w:tcPr>
            <w:tcW w:w="6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2,441,379</w:t>
            </w:r>
          </w:p>
        </w:tc>
        <w:tc>
          <w:tcPr>
            <w:tcW w:w="36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8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12/18/2025</w:t>
            </w:r>
          </w:p>
        </w:tc>
        <w:tc>
          <w:tcPr>
            <w:tcW w:w="72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P</w:t>
            </w:r>
            <w:r>
              <w:rPr>
                <w:rFonts w:ascii="Times New Roman" w:cs="Times New Roman" w:eastAsia="Times New Roman" w:hAnsi="Times New Roman"/>
                <w:sz w:val="11"/>
                <w:szCs w:val="11"/>
                <w:color w:val="008000"/>
              </w:rPr>
              <w:t>(3)</w:t>
            </w:r>
          </w:p>
        </w:tc>
        <w:tc>
          <w:tcPr>
            <w:tcW w:w="72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17"/>
                <w:szCs w:val="17"/>
                <w:color w:val="0000FF"/>
                <w:w w:val="97"/>
              </w:rPr>
              <w:t>137,931</w:t>
            </w: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29</w:t>
            </w:r>
          </w:p>
        </w:tc>
        <w:tc>
          <w:tcPr>
            <w:tcW w:w="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7"/>
              </w:rPr>
              <w:t>137,931</w:t>
            </w: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5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vMerge w:val="restart"/>
          </w:tcPr>
          <w:p>
            <w:pPr>
              <w:ind w:left="100"/>
              <w:spacing w:after="0" w:line="281"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64,005</w:t>
            </w:r>
            <w:r>
              <w:rPr>
                <w:rFonts w:ascii="Times New Roman" w:cs="Times New Roman" w:eastAsia="Times New Roman" w:hAnsi="Times New Roman"/>
                <w:sz w:val="21"/>
                <w:szCs w:val="21"/>
                <w:color w:val="008000"/>
                <w:vertAlign w:val="superscript"/>
              </w:rPr>
              <w:t>(1)</w:t>
            </w:r>
          </w:p>
        </w:tc>
        <w:tc>
          <w:tcPr>
            <w:tcW w:w="28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12"/>
                <w:szCs w:val="12"/>
                <w:color w:val="auto"/>
              </w:rPr>
            </w:pPr>
          </w:p>
        </w:tc>
        <w:tc>
          <w:tcPr>
            <w:tcW w:w="600" w:type="dxa"/>
            <w:vAlign w:val="bottom"/>
          </w:tcPr>
          <w:p>
            <w:pPr>
              <w:jc w:val="center"/>
              <w:ind w:right="51"/>
              <w:spacing w:after="0" w:line="141" w:lineRule="exact"/>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64,005</w:t>
            </w:r>
          </w:p>
        </w:tc>
        <w:tc>
          <w:tcPr>
            <w:tcW w:w="60" w:type="dxa"/>
            <w:vAlign w:val="bottom"/>
          </w:tcPr>
          <w:p>
            <w:pPr>
              <w:spacing w:after="0"/>
              <w:rPr>
                <w:sz w:val="12"/>
                <w:szCs w:val="12"/>
                <w:color w:val="auto"/>
              </w:rPr>
            </w:pP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Medline</w:t>
            </w:r>
          </w:p>
        </w:tc>
        <w:tc>
          <w:tcPr>
            <w:tcW w:w="760" w:type="dxa"/>
            <w:vAlign w:val="bottom"/>
            <w:vMerge w:val="continue"/>
          </w:tcPr>
          <w:p>
            <w:pPr>
              <w:spacing w:after="0"/>
              <w:rPr>
                <w:sz w:val="4"/>
                <w:szCs w:val="4"/>
                <w:color w:val="auto"/>
              </w:rPr>
            </w:pPr>
          </w:p>
        </w:tc>
        <w:tc>
          <w:tcPr>
            <w:tcW w:w="1060" w:type="dxa"/>
            <w:vAlign w:val="bottom"/>
            <w:vMerge w:val="restart"/>
          </w:tcPr>
          <w:p>
            <w:pPr>
              <w:jc w:val="right"/>
              <w:ind w:right="161"/>
              <w:spacing w:after="0" w:line="141" w:lineRule="exact"/>
              <w:rPr>
                <w:sz w:val="20"/>
                <w:szCs w:val="20"/>
                <w:color w:val="auto"/>
              </w:rPr>
            </w:pPr>
            <w:r>
              <w:rPr>
                <w:rFonts w:ascii="Times New Roman" w:cs="Times New Roman" w:eastAsia="Times New Roman" w:hAnsi="Times New Roman"/>
                <w:sz w:val="13"/>
                <w:szCs w:val="13"/>
                <w:color w:val="0000FF"/>
              </w:rPr>
              <w:t>12/16/2025</w:t>
            </w:r>
          </w:p>
        </w:tc>
        <w:tc>
          <w:tcPr>
            <w:tcW w:w="11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820" w:type="dxa"/>
            <w:vAlign w:val="bottom"/>
            <w:gridSpan w:val="2"/>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rPr>
              <w:t>64,005</w:t>
            </w:r>
          </w:p>
        </w:tc>
        <w:tc>
          <w:tcPr>
            <w:tcW w:w="520" w:type="dxa"/>
            <w:vAlign w:val="bottom"/>
            <w:vMerge w:val="restart"/>
          </w:tcPr>
          <w:p>
            <w:pPr>
              <w:ind w:left="380"/>
              <w:spacing w:after="0" w:line="141"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gridSpan w:val="3"/>
          </w:tcPr>
          <w:p>
            <w:pPr>
              <w:ind w:left="520"/>
              <w:spacing w:after="0" w:line="94" w:lineRule="exact"/>
              <w:rPr>
                <w:sz w:val="20"/>
                <w:szCs w:val="20"/>
                <w:color w:val="auto"/>
              </w:rPr>
            </w:pP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restart"/>
          </w:tcPr>
          <w:p>
            <w:pPr>
              <w:jc w:val="center"/>
              <w:ind w:right="7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Footnote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LP</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2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a trust for the benefit of the Reporting Person and for which the Reporting Person serves as a trustee.</w:t>
      </w:r>
    </w:p>
    <w:p>
      <w:pPr>
        <w:spacing w:after="0" w:line="41" w:lineRule="exact"/>
        <w:rPr>
          <w:rFonts w:ascii="Times New Roman" w:cs="Times New Roman" w:eastAsia="Times New Roman" w:hAnsi="Times New Roman"/>
          <w:sz w:val="13"/>
          <w:szCs w:val="13"/>
          <w:color w:val="008000"/>
        </w:rPr>
      </w:pPr>
    </w:p>
    <w:p>
      <w:pPr>
        <w:ind w:left="40" w:right="60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Class A Common Stock of the Issuer acquired in the initial public offering of Class A Common Stock of the Issuer at the initial public offering price and on the same terms as the other purchasers in the initial public offering.</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for the benefit of the Reporting Person by a limited liability company.</w:t>
      </w:r>
    </w:p>
    <w:p>
      <w:pPr>
        <w:spacing w:after="0" w:line="41" w:lineRule="exact"/>
        <w:rPr>
          <w:rFonts w:ascii="Times New Roman" w:cs="Times New Roman" w:eastAsia="Times New Roman" w:hAnsi="Times New Roman"/>
          <w:sz w:val="13"/>
          <w:szCs w:val="13"/>
          <w:color w:val="008000"/>
        </w:rPr>
      </w:pPr>
    </w:p>
    <w:p>
      <w:pPr>
        <w:ind w:left="40" w:right="180"/>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exchange agreement, dated as of December 16, 2025, holders have the right to exchange their common units of Medline Holdings, LP for shares of the Issuer's Class A common stock on a one-for-one basis, subject to customary conversion rate adjustments for stock splits, stock dividends and reclassifications. These exchange rights do not expire.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Nicole Fritz,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12/22/2025</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3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60221"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2025-12-22T15:35:54Z</dcterms:created>
  <dcterms:modified xsi:type="dcterms:W3CDTF">2025-12-22T15:35:54Z</dcterms:modified>
</cp:coreProperties>
</file>