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BX Mozart ML-2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1"/>
        <w:gridCol w:w="903"/>
        <w:gridCol w:w="778"/>
        <w:gridCol w:w="600"/>
        <w:gridCol w:w="324"/>
        <w:gridCol w:w="1234"/>
        <w:gridCol w:w="383"/>
        <w:gridCol w:w="877"/>
        <w:gridCol w:w="1400"/>
        <w:gridCol w:w="912"/>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16,479,083</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109,250,239</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8,241,723</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10,185</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1,886,636</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12,507,704</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(4)(7)(8)</w:t>
            </w:r>
            <w:r>
              <w:rPr/>
              <w:t xml:space="preserve"> </w:t>
            </w:r>
          </w:p>
        </w:tc>
      </w:tr>
      <w:tr>
        <w:trPr/>
        <w:tc>
          <w:tcPr>
            <w:tcW w:w="16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1,245,544</w:t>
            </w:r>
          </w:p>
        </w:tc>
        <w:tc>
          <w:tcPr>
            <w:tcW w:w="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40.508</w:t>
            </w:r>
            <w:r>
              <w:rPr>
                <w:rFonts w:ascii="Times;serif" w:hAnsi="Times;serif"/>
                <w:color w:val="008000"/>
                <w:position w:val="7"/>
                <w:sz w:val="16"/>
                <w:sz w:val="20"/>
                <w:shd w:fill="FFFFFF" w:val="clear"/>
              </w:rPr>
              <w:t>(1)</w:t>
            </w:r>
            <w:r>
              <w:rPr/>
              <w:t xml:space="preserve"> </w:t>
            </w:r>
          </w:p>
        </w:tc>
        <w:tc>
          <w:tcPr>
            <w:tcW w:w="1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(5)(7)(8)</w:t>
            </w:r>
            <w:r>
              <w:rPr/>
              <w:t xml:space="preserve"> </w:t>
            </w:r>
          </w:p>
        </w:tc>
      </w:tr>
      <w:tr>
        <w:trPr/>
        <w:tc>
          <w:tcPr>
            <w:tcW w:w="16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366,337</w:t>
            </w:r>
          </w:p>
        </w:tc>
        <w:tc>
          <w:tcPr>
            <w:tcW w:w="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2,428,681</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(6)(7)(8)</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BX Mozart ML-2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BX Mozart ML-1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Mozart Aggregator II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Mozart Aggregator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Mozart Aggregator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BX Mozart ML-2 Holdco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BX Mozart ML-1 Holdco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BCP Mozart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Blackstone Management Associates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the closing of the secondary offering of Class A common stock ("Class A Common Stock") of Medline Inc. (the "Issuer"), certain of the Reporting Persons sold shares of Class A Common Stock to the underwriters at a price per shares equal to the public offering price of $41.00 per shares of Class A Common Stock, less the underwriting discounts and commissions of $0.492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of the Issuer held directly by Mozart Aggregator II UNLV Holdco L.P. Blackstone Management Associates VIII L.P. is the general partner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shares of Class A Common Stock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March 10, 2026, Mozart Aggregator II LP initiated in-kind distributions of shares of Class A Common Stock to one of its investors and certain affiliated entities of that investor. Such distributees have agreed to be bound in writing by the restrictions set forth in the Lock Up Agreement entered into by and among the Reporting Persons and the underwriters.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ML-2 HOLDCO L.P., By: BX Mozart ML-2 Holdco GP L.L.C., its general partner,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L.P., By: BX Mozart ML-1 Holdco GP L.L.C., its general partner,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II UNLV HOLDCO L.P., By: Blackstone Management Associates VIII L.P., its general partner, By: BMA VIII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UNLV HOLDCO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MOZART AGGREGATOR II LP, By: Blackstone Management Associates VIII L.P., its general partner, By: BMA VIII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ML-2 HOLDCO GP L.L.C.,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BX MOZART ML-1 HOLDCO GP L.L.C., By: /s/ Robert Brooks Name: Robert Brooks, Title: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MOZART AGGREGATOR L.P., By: BCP 8 Holdings Mozart Manager L.L.C., its general partner, By: BMA VIII L.L.C., its managing member,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MANAGEMENT ASSOCIATES VIII L.P., By: BMA VIII L.L.C., its general partner, By: /s/ Robert Brooks Name: Robert Brooks Title: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360"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102360" TargetMode="External"/><Relationship Id="rId9" Type="http://schemas.openxmlformats.org/officeDocument/2006/relationships/hyperlink" Target="http://www.sec.gov/cgi-bin/browse-edgar?action=getcompany&amp;CIK=0002102428" TargetMode="External"/><Relationship Id="rId10" Type="http://schemas.openxmlformats.org/officeDocument/2006/relationships/hyperlink" Target="http://www.sec.gov/cgi-bin/browse-edgar?action=getcompany&amp;CIK=0002108059" TargetMode="External"/><Relationship Id="rId11" Type="http://schemas.openxmlformats.org/officeDocument/2006/relationships/hyperlink" Target="http://www.sec.gov/cgi-bin/browse-edgar?action=getcompany&amp;CIK=0002108063" TargetMode="External"/><Relationship Id="rId12" Type="http://schemas.openxmlformats.org/officeDocument/2006/relationships/hyperlink" Target="http://www.sec.gov/cgi-bin/browse-edgar?action=getcompany&amp;CIK=0002098582" TargetMode="External"/><Relationship Id="rId13" Type="http://schemas.openxmlformats.org/officeDocument/2006/relationships/hyperlink" Target="http://www.sec.gov/cgi-bin/browse-edgar?action=getcompany&amp;CIK=0002102581" TargetMode="External"/><Relationship Id="rId14" Type="http://schemas.openxmlformats.org/officeDocument/2006/relationships/hyperlink" Target="http://www.sec.gov/cgi-bin/browse-edgar?action=getcompany&amp;CIK=0002102570" TargetMode="External"/><Relationship Id="rId15" Type="http://schemas.openxmlformats.org/officeDocument/2006/relationships/hyperlink" Target="http://www.sec.gov/cgi-bin/browse-edgar?action=getcompany&amp;CIK=0002094487" TargetMode="External"/><Relationship Id="rId16" Type="http://schemas.openxmlformats.org/officeDocument/2006/relationships/hyperlink" Target="http://www.sec.gov/cgi-bin/browse-edgar?action=getcompany&amp;CIK=0002084378"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1767</Words>
  <Characters>9431</Characters>
  <CharactersWithSpaces>10967</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