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1"/>
        <w:gridCol w:w="903"/>
        <w:gridCol w:w="778"/>
        <w:gridCol w:w="600"/>
        <w:gridCol w:w="324"/>
        <w:gridCol w:w="1234"/>
        <w:gridCol w:w="383"/>
        <w:gridCol w:w="877"/>
        <w:gridCol w:w="1400"/>
        <w:gridCol w:w="912"/>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16,479,083</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109,250,239</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8,241,723</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10,185</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1,886,636</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12,507,704</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1,245,544</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(5)(7)(8)</w:t>
            </w:r>
            <w:r>
              <w:rPr/>
              <w:t xml:space="preserve"> </w:t>
            </w:r>
          </w:p>
        </w:tc>
      </w:tr>
      <w:tr>
        <w:trPr/>
        <w:tc>
          <w:tcPr>
            <w:tcW w:w="16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366,337</w:t>
            </w:r>
          </w:p>
        </w:tc>
        <w:tc>
          <w:tcPr>
            <w:tcW w:w="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2,428,681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(6)(7)(8)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BMA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Blackstone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Blackstone Holdings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Blackstone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Blackstone Group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SCHWARZMAN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closing of the secondary offering of Class A common stock ("Class A Common Stock") of Medline Inc. (the "Issuer"), certain of the Reporting Persons sold shares of Class A Common Stock to the underwriters at a price per shares equal to the public offering price of $41.00 per shares of Class A Common Stock, less the underwriting discounts and commissions of $0.492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of the Issuer held directly by Mozart Aggregator II UNLV Holdco L.P. Blackstone Management Associates VIII L.P. is the general partner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shares of Class A Common Stock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March 10, 2026, Mozart Aggregator II LP initiated in-kind distributions of shares of Class A Common Stock to one of its investors and certain affiliated entities of that investor. Such distributees have agreed to be bound in writing by the restrictions set forth in the Lock Up Agreement entered into by and among the Reporting Persons and the underwriters.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8 HOLDINGS MOZART MANAGER L.L.C., By: BMA VIII L.L.C., its managing member,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BMA VIII L.L.C.,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 L.P., By: Blackstone Holdings I/II GP L.L.C., its general partner,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I/II GP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INC.,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GROUP MANAGEMENT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A. Schwarzman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484"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4484" TargetMode="External"/><Relationship Id="rId9" Type="http://schemas.openxmlformats.org/officeDocument/2006/relationships/hyperlink" Target="http://www.sec.gov/cgi-bin/browse-edgar?action=getcompany&amp;CIK=0002084966" TargetMode="External"/><Relationship Id="rId10" Type="http://schemas.openxmlformats.org/officeDocument/2006/relationships/hyperlink" Target="http://www.sec.gov/cgi-bin/browse-edgar?action=getcompany&amp;CIK=0001484870" TargetMode="External"/><Relationship Id="rId11" Type="http://schemas.openxmlformats.org/officeDocument/2006/relationships/hyperlink" Target="http://www.sec.gov/cgi-bin/browse-edgar?action=getcompany&amp;CIK=0001464695" TargetMode="External"/><Relationship Id="rId12" Type="http://schemas.openxmlformats.org/officeDocument/2006/relationships/hyperlink" Target="http://www.sec.gov/cgi-bin/browse-edgar?action=getcompany&amp;CIK=0001393818" TargetMode="External"/><Relationship Id="rId13" Type="http://schemas.openxmlformats.org/officeDocument/2006/relationships/hyperlink" Target="http://www.sec.gov/cgi-bin/browse-edgar?action=getcompany&amp;CIK=0001404071" TargetMode="External"/><Relationship Id="rId14" Type="http://schemas.openxmlformats.org/officeDocument/2006/relationships/hyperlink" Target="http://www.sec.gov/cgi-bin/browse-edgar?action=getcompany&amp;CIK=000107084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1599</Words>
  <Characters>8630</Characters>
  <CharactersWithSpaces>10029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