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Hellman &amp; Friedman Capital Partners X (Parallel),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498"/>
        <w:gridCol w:w="909"/>
        <w:gridCol w:w="783"/>
        <w:gridCol w:w="666"/>
        <w:gridCol w:w="257"/>
        <w:gridCol w:w="1242"/>
        <w:gridCol w:w="370"/>
        <w:gridCol w:w="991"/>
        <w:gridCol w:w="1287"/>
        <w:gridCol w:w="899"/>
        <w:gridCol w:w="13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4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6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4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17,947,337</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228,840</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Mend Investment Holdings I, L.P.</w:t>
            </w:r>
            <w:r>
              <w:rPr>
                <w:rFonts w:ascii="Times;serif" w:hAnsi="Times;serif"/>
                <w:color w:val="008000"/>
                <w:position w:val="7"/>
                <w:sz w:val="16"/>
                <w:sz w:val="20"/>
                <w:shd w:fill="FFFFFF" w:val="clear"/>
              </w:rPr>
              <w:t>(2)(3)</w:t>
            </w:r>
            <w:r>
              <w:rPr/>
              <w:t xml:space="preserve"> </w:t>
            </w:r>
          </w:p>
        </w:tc>
      </w:tr>
      <w:tr>
        <w:trPr/>
        <w:tc>
          <w:tcPr>
            <w:tcW w:w="14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753,528</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3,422,699</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Mend Partners II, L.P.</w:t>
            </w:r>
            <w:r>
              <w:rPr>
                <w:rFonts w:ascii="Times;serif" w:hAnsi="Times;serif"/>
                <w:color w:val="008000"/>
                <w:position w:val="7"/>
                <w:sz w:val="16"/>
                <w:sz w:val="20"/>
                <w:shd w:fill="FFFFFF" w:val="clear"/>
              </w:rPr>
              <w:t>(2)(3)</w:t>
            </w:r>
            <w:r>
              <w:rPr/>
              <w:t xml:space="preserve"> </w:t>
            </w:r>
          </w:p>
        </w:tc>
      </w:tr>
      <w:tr>
        <w:trPr/>
        <w:tc>
          <w:tcPr>
            <w:tcW w:w="14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11,904,646</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62,591,526</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Hellman &amp; Friedman Capital Partners X (Parallel), L.P.</w:t>
            </w:r>
            <w:r>
              <w:rPr>
                <w:rFonts w:ascii="Times;serif" w:hAnsi="Times;serif"/>
                <w:color w:val="008000"/>
                <w:position w:val="7"/>
                <w:sz w:val="16"/>
                <w:sz w:val="20"/>
                <w:shd w:fill="FFFFFF" w:val="clear"/>
              </w:rPr>
              <w:t>(2)(3)</w:t>
            </w:r>
            <w:r>
              <w:rPr/>
              <w:t xml:space="preserve"> </w:t>
            </w:r>
          </w:p>
        </w:tc>
      </w:tr>
      <w:tr>
        <w:trPr/>
        <w:tc>
          <w:tcPr>
            <w:tcW w:w="14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1,262,726</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36.5375</w:t>
            </w:r>
            <w:r>
              <w:rPr>
                <w:rFonts w:ascii="Times;serif" w:hAnsi="Times;serif"/>
                <w:color w:val="008000"/>
                <w:position w:val="7"/>
                <w:sz w:val="16"/>
                <w:sz w:val="20"/>
                <w:shd w:fill="FFFFFF" w:val="clear"/>
              </w:rPr>
              <w:t>(1)</w:t>
            </w:r>
            <w:r>
              <w:rPr/>
              <w:t xml:space="preserve"> </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6,519,062</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HFCP X (Parallel - A), L.P.</w:t>
            </w:r>
            <w:r>
              <w:rPr>
                <w:rFonts w:ascii="Times;serif" w:hAnsi="Times;serif"/>
                <w:color w:val="008000"/>
                <w:position w:val="7"/>
                <w:sz w:val="16"/>
                <w:sz w:val="20"/>
                <w:shd w:fill="FFFFFF" w:val="clear"/>
              </w:rPr>
              <w:t>(2)(3)</w:t>
            </w:r>
            <w:r>
              <w:rPr/>
              <w:t xml:space="preserve"> </w:t>
            </w:r>
          </w:p>
        </w:tc>
      </w:tr>
      <w:tr>
        <w:trPr/>
        <w:tc>
          <w:tcPr>
            <w:tcW w:w="14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(4)(5)</w:t>
            </w:r>
            <w:r>
              <w:rPr/>
              <w:t xml:space="preserve"> </w:t>
            </w:r>
          </w:p>
        </w:tc>
        <w:tc>
          <w:tcPr>
            <w:tcW w:w="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209,530</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19,310</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Mend Investment Holdings I, L.P.</w:t>
            </w:r>
            <w:r>
              <w:rPr>
                <w:rFonts w:ascii="Times;serif" w:hAnsi="Times;serif"/>
                <w:color w:val="008000"/>
                <w:position w:val="7"/>
                <w:sz w:val="16"/>
                <w:sz w:val="20"/>
                <w:shd w:fill="FFFFFF" w:val="clear"/>
              </w:rPr>
              <w:t>(2)(3)</w:t>
            </w:r>
            <w:r>
              <w:rPr/>
              <w:t xml:space="preserve"> </w:t>
            </w:r>
          </w:p>
        </w:tc>
      </w:tr>
      <w:tr>
        <w:trPr/>
        <w:tc>
          <w:tcPr>
            <w:tcW w:w="14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(4)(5)</w:t>
            </w:r>
            <w:r>
              <w:rPr/>
              <w:t xml:space="preserve"> </w:t>
            </w:r>
          </w:p>
        </w:tc>
        <w:tc>
          <w:tcPr>
            <w:tcW w:w="2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1,536,907</w:t>
            </w:r>
          </w:p>
        </w:tc>
        <w:tc>
          <w:tcPr>
            <w:tcW w:w="3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61,054,619</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Hellman &amp; Friedman Capital Partners X (Parallel), L.P.</w:t>
            </w:r>
            <w:r>
              <w:rPr>
                <w:rFonts w:ascii="Times;serif" w:hAnsi="Times;serif"/>
                <w:color w:val="008000"/>
                <w:position w:val="7"/>
                <w:sz w:val="16"/>
                <w:sz w:val="20"/>
                <w:shd w:fill="FFFFFF" w:val="clear"/>
              </w:rPr>
              <w:t>(2)(3)</w:t>
            </w:r>
            <w:r>
              <w:rPr/>
              <w:t xml:space="preserve"> </w:t>
            </w:r>
          </w:p>
        </w:tc>
      </w:tr>
      <w:tr>
        <w:trPr/>
        <w:tc>
          <w:tcPr>
            <w:tcW w:w="14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(4)(5)</w:t>
            </w:r>
            <w:r>
              <w:rPr/>
              <w:t xml:space="preserve"> </w:t>
            </w:r>
          </w:p>
        </w:tc>
        <w:tc>
          <w:tcPr>
            <w:tcW w:w="2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141,364</w:t>
            </w:r>
          </w:p>
        </w:tc>
        <w:tc>
          <w:tcPr>
            <w:tcW w:w="3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6,377,698</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HFCP X (Parallel - A), L.P.</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Hellman &amp; Friedman Capital Partners X (Parallel),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HFCP X (Parallel-A),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Mend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Mend Investment Holdings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Hellman &amp; Friedman Investors 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Mend Partners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Mend Investment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Hellman &amp; Friedman Capital Partners 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H&amp;F Corporate Investors X,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HELLMAN &amp; FRIEDMAN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MISSION STREET, SUITE 5700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amount represents the $37.00 secondary public offering price per share of Class A common stock ("Class A Common Stock") of Medline Inc. (the "Issuer"), less the underwriting discount of $0.4625 per share sold by the Reporting Persons in connection with an underwritten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Hellman &amp; Friedman Investors X, L.P. ("Investors X GP") is the general partner of Hellman &amp; Friedman Capital Partners X (Parallel), L.P. and HFCP X (Parallel - A), L.P. Mend Partners GP, LLC ("Mend GP") is the general partner of Mend Partners II, L.P. Investors X GP is the managing member of Mend GP. Mend Investment Holdings GP, LLC ("Mend Investment GP") is the general partner of Mend Investment Holdings I, L.P. Hellman &amp; Friedman Capital Partners X, L.P. ("HFCP X") is the managing member of Mend Investment GP. Investors X GP is the general partner of HFCP X. H&amp;F Corporate Investors X, Ltd. ("Investors X Ltd.") is the general partner of Investors X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 three-member board of directors of Investors X Ltd. has voting and investment discretion over the securities held by Hellman &amp; Friedman Capital Partners X (Parallel), L.P., HFCP X (Parallel - A), Mend Partners II, L.P., and Mend Investment Holdings I, L.P. Each of the members of the board of directors of Investors X Ltd. disclaims beneficial ownership of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May 28, 2026, in connection with the sales reported above, each of Hellman &amp; Friedman Capital Partners X (Parallel), L.P., HFCP X (Parallel - A), L.P., and Mend Investment Holdings I, L.P. initiated distributions of shares of Class A Common Stock to their respective ultimate partners and shareholders as in-kind distributions in respect of such persons' interests in the distributing entities. The receipt of shares of Class A Common Stock by each of the Reporting Persons in connection with such distributions was exempt from reporting pursuant to Rule 16a-13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recipients of the shares of Class A Common Stock distributed pursuant to footnote 4 have agreed to be subject to a lock-up agreement with the representatives of the several underwriters in connection with the underwritten public offering of the Issuer referred to above, provided that shares constituting less than 1% of the Issuer's outstanding common stock in the aggregate that are being delivered to charitable organizations will not be subject to such restrictions.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for purposes of Section 16 of the Exchange Act, or otherwise, that the Reporting Persons are subject to Section 16 of the Exchange Act or that the Reporting Persons are the beneficial owners of any equity securities in excess of their respective pecuniary interests, and each Reporting Person disclaims beneficial ownership of the securities reported herein, except to the extent of such Reporting Person's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 the general partner of Hellman &amp; Friedman Capital Partners X (Parallel),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 the general partner of HFCP X (Parallel - A),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 the managing member of Mend Partners GP, LLC, the general partner of Mend Partners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VP of H&amp;F Corporate Investors X, Ltd., the GP of Hellman &amp; Friedman Investors X, L.P., the GP of Hellman &amp; Friedman Capital Partners X, L.P., the MM of Mend Investment Holdings GP, LLC, the GP of Mend Investment Holdings 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 the managing member of Mend Partners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 the G.P. of Hellman &amp; Friedman X Capital Partners, L.P., the managing member of Mend Investment Holding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 the general partner of Hellman &amp; Friedman Investors X, L.P., the general partner of Hellman &amp; Friedman Capital Partners X,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Jacob Best; Jacob Best, Vice President of H&amp;F Corporate Investors X,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430"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41430" TargetMode="External"/><Relationship Id="rId9" Type="http://schemas.openxmlformats.org/officeDocument/2006/relationships/hyperlink" Target="http://www.sec.gov/cgi-bin/browse-edgar?action=getcompany&amp;CIK=0001841189" TargetMode="External"/><Relationship Id="rId10" Type="http://schemas.openxmlformats.org/officeDocument/2006/relationships/hyperlink" Target="http://www.sec.gov/cgi-bin/browse-edgar?action=getcompany&amp;CIK=0001877047" TargetMode="External"/><Relationship Id="rId11" Type="http://schemas.openxmlformats.org/officeDocument/2006/relationships/hyperlink" Target="http://www.sec.gov/cgi-bin/browse-edgar?action=getcompany&amp;CIK=0002074968" TargetMode="External"/><Relationship Id="rId12" Type="http://schemas.openxmlformats.org/officeDocument/2006/relationships/hyperlink" Target="http://www.sec.gov/cgi-bin/browse-edgar?action=getcompany&amp;CIK=0001868392" TargetMode="External"/><Relationship Id="rId13" Type="http://schemas.openxmlformats.org/officeDocument/2006/relationships/hyperlink" Target="http://www.sec.gov/cgi-bin/browse-edgar?action=getcompany&amp;CIK=0002074972" TargetMode="External"/><Relationship Id="rId14" Type="http://schemas.openxmlformats.org/officeDocument/2006/relationships/hyperlink" Target="http://www.sec.gov/cgi-bin/browse-edgar?action=getcompany&amp;CIK=0002074980" TargetMode="External"/><Relationship Id="rId15" Type="http://schemas.openxmlformats.org/officeDocument/2006/relationships/hyperlink" Target="http://www.sec.gov/cgi-bin/browse-edgar?action=getcompany&amp;CIK=0001841434" TargetMode="External"/><Relationship Id="rId16" Type="http://schemas.openxmlformats.org/officeDocument/2006/relationships/hyperlink" Target="http://www.sec.gov/cgi-bin/browse-edgar?action=getcompany&amp;CIK=0001901930"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1795</Words>
  <Characters>9416</Characters>
  <CharactersWithSpaces>10970</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