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Mills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MEDLINE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LAKES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NORTHFIELD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12/16/2025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5"/>
        <w:gridCol w:w="899"/>
        <w:gridCol w:w="771"/>
        <w:gridCol w:w="597"/>
        <w:gridCol w:w="340"/>
        <w:gridCol w:w="1133"/>
        <w:gridCol w:w="432"/>
        <w:gridCol w:w="594"/>
        <w:gridCol w:w="1248"/>
        <w:gridCol w:w="968"/>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30,655</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(3)</w:t>
            </w:r>
            <w:r>
              <w:rPr/>
              <w:t xml:space="preserve"> </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2,586,206</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r>
              <w:rPr/>
              <w:t xml:space="preserve"> </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2,586,206</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2329"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771"/>
        <w:gridCol w:w="276"/>
        <w:gridCol w:w="906"/>
        <w:gridCol w:w="801"/>
        <w:gridCol w:w="891"/>
        <w:gridCol w:w="801"/>
        <w:gridCol w:w="801"/>
        <w:gridCol w:w="936"/>
        <w:gridCol w:w="831"/>
        <w:gridCol w:w="951"/>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30,655</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a trust for the benefit of the Reporting Person and members of his immediate family, and of which the Reporting Person has the power to replace the trustee. The Reporting Person disclaims beneficial ownership of the reported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of Class A Common Stock of the Issuer acquired in the initial public offering of Class A Common Stock of the Issuer at the initial public offering price and on the same terms as the other purchasers in the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for the benefit of the Reporting Person and members of his immediate family by a limited liability company. The Reporting Person disclaims beneficial ownership of the reported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terms of an exchange agreement, dated as of December 16, 2025, holders have the right to exchange their common units of Medline Holdings, LP for shares of the Issuer's Class A common stock on a one-for-one basis, subject to customary conversion rate adjustments for stock splits, stock dividends and reclassifications. These exchange rights do not expire.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Fritz,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0212"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848</Words>
  <Characters>4531</Characters>
  <CharactersWithSpaces>5301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