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Sunder Anushka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BLACKSTONE INC.</w:t>
            </w: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345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10154</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
        <w:spacing w:after="0" w:line="259" w:lineRule="auto"/>
        <w:rPr>
          <w:sz w:val="20"/>
          <w:szCs w:val="20"/>
          <w:color w:val="auto"/>
        </w:rPr>
      </w:pPr>
      <w:r>
        <w:rPr>
          <w:rFonts w:ascii="Times New Roman" w:cs="Times New Roman" w:eastAsia="Times New Roman" w:hAnsi="Times New Roman"/>
          <w:sz w:val="15"/>
          <w:szCs w:val="15"/>
          <w:color w:val="008000"/>
        </w:rPr>
        <w:t>Exhibit 24 - Power of Attorney. The Reporting Person, an employee of Blackstone Inc. ("Blackstone") or one of its affiliates, is a member of the board of directors of the Issuer. The Reporting Person disclaims beneficial ownership of any securities of the Issuer that may be deemed to be beneficially owned by affiliates of Blackstone.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/s/ Anushka M. Sunder</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Anushka M. Sunder</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1060"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2025-12-17T18:08:55Z</dcterms:created>
  <dcterms:modified xsi:type="dcterms:W3CDTF">2025-12-17T18:08:55Z</dcterms:modified>
</cp:coreProperties>
</file>