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32"/>
        </w:rPr>
      </w:pPr>
      <w:bookmarkStart w:id="0" w:name="filename1.htm"/>
      <w:bookmarkStart w:id="1" w:name="ksfilename1"/>
      <w:bookmarkEnd w:id="0"/>
      <w:bookmarkEnd w:id="1"/>
      <w:r>
        <w:rPr>
          <w:rFonts w:ascii="Times New Roman" w:hAnsi="Times New Roman"/>
          <w:b/>
          <w:sz w:val="32"/>
        </w:rPr>
        <w:t xml:space="preserve">Simpson Thacher &amp; Bartlett </w:t>
      </w:r>
      <w:r>
        <w:rPr>
          <w:rFonts w:ascii="Times New Roman" w:hAnsi="Times New Roman"/>
          <w:b/>
          <w:sz w:val="20"/>
        </w:rPr>
        <w:t>LLP</w:t>
      </w:r>
      <w:r>
        <w:rPr>
          <w:rFonts w:ascii="Times New Roman" w:hAnsi="Times New Roman"/>
          <w:b/>
          <w:sz w:val="32"/>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900 G STREET,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TELEPHONE: +1-202-636-5500 </w:t>
      </w:r>
    </w:p>
    <w:p>
      <w:pPr>
        <w:pStyle w:val="TextBody"/>
        <w:bidi w:val="0"/>
        <w:spacing w:before="0" w:after="0"/>
        <w:jc w:val="center"/>
        <w:rPr>
          <w:rFonts w:ascii="Times New Roman" w:hAnsi="Times New Roman"/>
          <w:sz w:val="20"/>
        </w:rPr>
      </w:pPr>
      <w:r>
        <w:rPr>
          <w:rFonts w:ascii="Times New Roman" w:hAnsi="Times New Roman"/>
          <w:sz w:val="20"/>
        </w:rPr>
        <w:t xml:space="preserve">FACSIMILE: +1-202-636-5502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5"/>
        <w:gridCol w:w="120"/>
        <w:gridCol w:w="3095"/>
        <w:gridCol w:w="120"/>
        <w:gridCol w:w="3355"/>
      </w:tblGrid>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3515" w:type="dxa"/>
            <w:tcBorders/>
          </w:tcPr>
          <w:p>
            <w:pPr>
              <w:pStyle w:val="TableContents"/>
              <w:bidi w:val="0"/>
              <w:spacing w:before="0" w:after="0"/>
              <w:jc w:val="left"/>
              <w:rPr>
                <w:rFonts w:ascii="Times New Roman" w:hAnsi="Times New Roman"/>
                <w:sz w:val="20"/>
              </w:rPr>
            </w:pPr>
            <w:r>
              <w:rPr>
                <w:rFonts w:ascii="Times New Roman" w:hAnsi="Times New Roman"/>
                <w:sz w:val="20"/>
              </w:rPr>
              <w:t>Direct Dial Number</w:t>
            </w:r>
          </w:p>
          <w:p>
            <w:pPr>
              <w:pStyle w:val="TableContents"/>
              <w:bidi w:val="0"/>
              <w:spacing w:before="0" w:after="20"/>
              <w:jc w:val="left"/>
              <w:rPr>
                <w:rFonts w:ascii="Times New Roman" w:hAnsi="Times New Roman"/>
                <w:sz w:val="20"/>
              </w:rPr>
            </w:pPr>
            <w:r>
              <w:rPr>
                <w:rFonts w:ascii="Times New Roman" w:hAnsi="Times New Roman"/>
                <w:sz w:val="20"/>
              </w:rPr>
              <w:t>+1-202-636-5804</w:t>
            </w:r>
          </w:p>
        </w:tc>
        <w:tc>
          <w:tcPr>
            <w:tcW w:w="120" w:type="dxa"/>
            <w:tcBorders/>
            <w:vAlign w:val="bottom"/>
          </w:tcPr>
          <w:p>
            <w:pPr>
              <w:pStyle w:val="TableContents"/>
              <w:bidi w:val="0"/>
              <w:spacing w:before="0" w:after="283"/>
              <w:jc w:val="left"/>
              <w:rPr/>
            </w:pPr>
            <w:r>
              <w:rPr/>
              <w:t>  </w:t>
            </w:r>
          </w:p>
        </w:tc>
        <w:tc>
          <w:tcPr>
            <w:tcW w:w="309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0"/>
              <w:jc w:val="right"/>
              <w:rPr>
                <w:rFonts w:ascii="Times New Roman" w:hAnsi="Times New Roman"/>
                <w:sz w:val="20"/>
              </w:rPr>
            </w:pPr>
            <w:r>
              <w:rPr>
                <w:rFonts w:ascii="Times New Roman" w:hAnsi="Times New Roman"/>
                <w:sz w:val="20"/>
              </w:rPr>
              <w:t>E-mail Address</w:t>
            </w:r>
          </w:p>
          <w:p>
            <w:pPr>
              <w:pStyle w:val="TableContents"/>
              <w:bidi w:val="0"/>
              <w:spacing w:before="0" w:after="20"/>
              <w:jc w:val="right"/>
              <w:rPr>
                <w:rFonts w:ascii="Times New Roman" w:hAnsi="Times New Roman"/>
                <w:sz w:val="20"/>
              </w:rPr>
            </w:pPr>
            <w:r>
              <w:rPr>
                <w:rFonts w:ascii="Times New Roman" w:hAnsi="Times New Roman"/>
                <w:sz w:val="20"/>
              </w:rPr>
              <w:t>jbonnie@stblaw.com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19"/>
        <w:gridCol w:w="120"/>
        <w:gridCol w:w="3166"/>
      </w:tblGrid>
      <w:tr>
        <w:trPr/>
        <w:tc>
          <w:tcPr>
            <w:tcW w:w="69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6919" w:type="dxa"/>
            <w:tcBorders/>
          </w:tcPr>
          <w:p>
            <w:pPr>
              <w:pStyle w:val="TableContents"/>
              <w:bidi w:val="0"/>
              <w:spacing w:before="0" w:after="283"/>
              <w:jc w:val="left"/>
              <w:rPr>
                <w:u w:val="single"/>
              </w:rPr>
            </w:pPr>
            <w:r>
              <w:rPr>
                <w:u w:val="single"/>
              </w:rPr>
              <w:t>VIA EDGAR</w:t>
            </w:r>
          </w:p>
        </w:tc>
        <w:tc>
          <w:tcPr>
            <w:tcW w:w="120"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283"/>
              <w:jc w:val="left"/>
              <w:rPr/>
            </w:pPr>
            <w:r>
              <w:rPr/>
              <w:t>May 20, 2026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11"/>
        <w:gridCol w:w="5716"/>
      </w:tblGrid>
      <w:tr>
        <w:trPr/>
        <w:tc>
          <w:tcPr>
            <w:tcW w:w="387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Re:</w:t>
            </w:r>
          </w:p>
        </w:tc>
        <w:tc>
          <w:tcPr>
            <w:tcW w:w="571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Acceleration Request for Medline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w:t>
            </w:r>
          </w:p>
          <w:p>
            <w:pPr>
              <w:pStyle w:val="TableContents"/>
              <w:bidi w:val="0"/>
              <w:spacing w:before="0" w:after="0"/>
              <w:jc w:val="left"/>
              <w:rPr>
                <w:rFonts w:ascii="Times New Roman" w:hAnsi="Times New Roman"/>
                <w:sz w:val="20"/>
              </w:rPr>
            </w:pPr>
            <w:r>
              <w:rPr>
                <w:rFonts w:ascii="Times New Roman" w:hAnsi="Times New Roman"/>
                <w:sz w:val="20"/>
              </w:rPr>
              <w:t>Division of Corporation Finance</w:t>
            </w:r>
          </w:p>
          <w:p>
            <w:pPr>
              <w:pStyle w:val="TableContents"/>
              <w:bidi w:val="0"/>
              <w:spacing w:before="0" w:after="0"/>
              <w:jc w:val="left"/>
              <w:rPr>
                <w:rFonts w:ascii="Times New Roman" w:hAnsi="Times New Roman"/>
                <w:sz w:val="20"/>
              </w:rPr>
            </w:pPr>
            <w:r>
              <w:rPr>
                <w:rFonts w:ascii="Times New Roman" w:hAnsi="Times New Roman"/>
                <w:sz w:val="20"/>
              </w:rPr>
              <w:t>100 F Street, N.E.</w:t>
            </w:r>
          </w:p>
          <w:p>
            <w:pPr>
              <w:pStyle w:val="TableContents"/>
              <w:bidi w:val="0"/>
              <w:spacing w:before="0" w:after="0"/>
              <w:jc w:val="left"/>
              <w:rPr>
                <w:rFonts w:ascii="Times New Roman" w:hAnsi="Times New Roman"/>
                <w:sz w:val="20"/>
              </w:rPr>
            </w:pPr>
            <w:r>
              <w:rPr>
                <w:rFonts w:ascii="Times New Roman" w:hAnsi="Times New Roman"/>
                <w:sz w:val="20"/>
              </w:rPr>
              <w:t>Washington, D.C. 20549</w:t>
            </w:r>
          </w:p>
          <w:p>
            <w:pPr>
              <w:pStyle w:val="TableContents"/>
              <w:bidi w:val="0"/>
              <w:spacing w:before="0" w:after="20"/>
              <w:jc w:val="left"/>
              <w:rPr>
                <w:rFonts w:ascii="Times New Roman" w:hAnsi="Times New Roman"/>
                <w:sz w:val="20"/>
              </w:rPr>
            </w:pPr>
            <w:r>
              <w:rPr>
                <w:rFonts w:ascii="Times New Roman" w:hAnsi="Times New Roman"/>
                <w:sz w:val="20"/>
              </w:rPr>
              <w:t>Attention: Juan Grana, Esq.</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461 under the Securities Act of 1933, as amended, we attach the requests of our client, Medline Inc., and of the underwriters that effectiveness of the above-referenced Registration Statement be accelerated to 4:05 p.m., Washington, D.C. time, on May 21, 2026, or as soon as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Call me at (202) 636-5804 with any questions.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Joshua Ford Bonnie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Joshua Ford Bonnie</w:t>
            </w:r>
          </w:p>
        </w:tc>
      </w:tr>
    </w:tbl>
    <w:p>
      <w:pPr>
        <w:pStyle w:val="TextBody"/>
        <w:bidi w:val="0"/>
        <w:spacing w:before="240" w:after="0"/>
        <w:jc w:val="both"/>
        <w:rPr>
          <w:rFonts w:ascii="Times New Roman" w:hAnsi="Times New Roman"/>
          <w:sz w:val="15"/>
        </w:rPr>
      </w:pPr>
      <w:r>
        <w:rPr>
          <w:rFonts w:ascii="Times New Roman" w:hAnsi="Times New Roman"/>
          <w:sz w:val="15"/>
        </w:rPr>
        <w:t xml:space="preserve">NEW YORK    BEIJING    BOSTON    BRUSSELS    HONG KONG    HOUSTON   LONDON   LOS ANGELES   LUXEMBOURG  PALO ALTO   SAN FRANCISCO  SÃO PAULO   TOKYO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20, 2026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VIA EDGAR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Re:</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Medline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S-1 </w:t>
      </w:r>
    </w:p>
    <w:p>
      <w:pPr>
        <w:pStyle w:val="TextBody"/>
        <w:bidi w:val="0"/>
        <w:spacing w:before="24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rFonts w:ascii="Times New Roman" w:hAnsi="Times New Roman"/>
          <w:sz w:val="20"/>
        </w:rPr>
      </w:pPr>
      <w:r>
        <w:rPr>
          <w:rFonts w:ascii="Times New Roman" w:hAnsi="Times New Roman"/>
          <w:sz w:val="20"/>
        </w:rPr>
        <w:t xml:space="preserve">Attention: Juan Grana, Esq.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461 under the Securities Act of 1933, as amended, Medline Inc. (the “Company”) hereby requests that the effective date of the above-referenced Registration Statement be accelerated so that it may become effective at 4:05 p.m., Washington, D.C. time, on May 21, 2026, or as soon as possible thereafter. In this regard, the Company is aware of its obligations under the Securities Act.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MEDLINE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Alexander M. Liberman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Alexander M. Liberman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Chief Legal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Goldman Sachs &amp; Co. LLC </w:t>
      </w:r>
    </w:p>
    <w:p>
      <w:pPr>
        <w:pStyle w:val="TextBody"/>
        <w:bidi w:val="0"/>
        <w:spacing w:before="0" w:after="0"/>
        <w:jc w:val="center"/>
        <w:rPr>
          <w:rFonts w:ascii="Times New Roman" w:hAnsi="Times New Roman"/>
          <w:sz w:val="20"/>
        </w:rPr>
      </w:pPr>
      <w:r>
        <w:rPr>
          <w:rFonts w:ascii="Times New Roman" w:hAnsi="Times New Roman"/>
          <w:sz w:val="20"/>
        </w:rPr>
        <w:t xml:space="preserve">200 West Street, New York, New York 10282 </w:t>
      </w:r>
    </w:p>
    <w:p>
      <w:pPr>
        <w:pStyle w:val="TextBody"/>
        <w:bidi w:val="0"/>
        <w:spacing w:before="240" w:after="0"/>
        <w:jc w:val="center"/>
        <w:rPr>
          <w:rFonts w:ascii="Times New Roman" w:hAnsi="Times New Roman"/>
          <w:b/>
          <w:sz w:val="20"/>
        </w:rPr>
      </w:pPr>
      <w:r>
        <w:rPr>
          <w:rFonts w:ascii="Times New Roman" w:hAnsi="Times New Roman"/>
          <w:b/>
          <w:sz w:val="20"/>
        </w:rPr>
        <w:t xml:space="preserve">Morgan Stanley &amp; Co. LLC </w:t>
      </w:r>
    </w:p>
    <w:p>
      <w:pPr>
        <w:pStyle w:val="TextBody"/>
        <w:bidi w:val="0"/>
        <w:spacing w:before="0" w:after="0"/>
        <w:jc w:val="center"/>
        <w:rPr>
          <w:rFonts w:ascii="Times New Roman" w:hAnsi="Times New Roman"/>
          <w:sz w:val="20"/>
        </w:rPr>
      </w:pPr>
      <w:r>
        <w:rPr>
          <w:rFonts w:ascii="Times New Roman" w:hAnsi="Times New Roman"/>
          <w:sz w:val="20"/>
        </w:rPr>
        <w:t xml:space="preserve">1585 Broadway, New York, New York 10036 </w:t>
      </w:r>
    </w:p>
    <w:p>
      <w:pPr>
        <w:pStyle w:val="TextBody"/>
        <w:bidi w:val="0"/>
        <w:spacing w:before="240" w:after="0"/>
        <w:jc w:val="center"/>
        <w:rPr>
          <w:rFonts w:ascii="Times New Roman" w:hAnsi="Times New Roman"/>
          <w:b/>
          <w:sz w:val="20"/>
        </w:rPr>
      </w:pPr>
      <w:r>
        <w:rPr>
          <w:rFonts w:ascii="Times New Roman" w:hAnsi="Times New Roman"/>
          <w:b/>
          <w:sz w:val="20"/>
        </w:rPr>
        <w:t xml:space="preserve">BofA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One Bryant Park, New York, New York 10036 </w:t>
      </w:r>
    </w:p>
    <w:p>
      <w:pPr>
        <w:pStyle w:val="TextBody"/>
        <w:bidi w:val="0"/>
        <w:spacing w:before="240" w:after="0"/>
        <w:jc w:val="center"/>
        <w:rPr>
          <w:rFonts w:ascii="Times New Roman" w:hAnsi="Times New Roman"/>
          <w:b/>
          <w:sz w:val="20"/>
        </w:rPr>
      </w:pPr>
      <w:r>
        <w:rPr>
          <w:rFonts w:ascii="Times New Roman" w:hAnsi="Times New Roman"/>
          <w:b/>
          <w:sz w:val="20"/>
        </w:rPr>
        <w:t xml:space="preserve">J.P. Morgan Securities LLC </w:t>
      </w:r>
    </w:p>
    <w:p>
      <w:pPr>
        <w:pStyle w:val="TextBody"/>
        <w:bidi w:val="0"/>
        <w:spacing w:before="0" w:after="0"/>
        <w:jc w:val="center"/>
        <w:rPr>
          <w:rFonts w:ascii="Times New Roman" w:hAnsi="Times New Roman"/>
          <w:sz w:val="20"/>
        </w:rPr>
      </w:pPr>
      <w:r>
        <w:rPr>
          <w:rFonts w:ascii="Times New Roman" w:hAnsi="Times New Roman"/>
          <w:sz w:val="20"/>
        </w:rPr>
        <w:t xml:space="preserve">270 Park Avenue, 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May 20, 2026 </w:t>
      </w:r>
    </w:p>
    <w:p>
      <w:pPr>
        <w:pStyle w:val="TextBody"/>
        <w:bidi w:val="0"/>
        <w:spacing w:before="120" w:after="0"/>
        <w:jc w:val="left"/>
        <w:rPr>
          <w:rFonts w:ascii="Times New Roman" w:hAnsi="Times New Roman"/>
          <w:sz w:val="20"/>
        </w:rPr>
      </w:pPr>
      <w:r>
        <w:rPr>
          <w:rFonts w:ascii="Times New Roman" w:hAnsi="Times New Roman"/>
          <w:sz w:val="20"/>
          <w:u w:val="single"/>
        </w:rPr>
        <w:t>VIA EDGAR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Re:</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Medline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S-1 </w:t>
      </w:r>
    </w:p>
    <w:p>
      <w:pPr>
        <w:pStyle w:val="TextBody"/>
        <w:bidi w:val="0"/>
        <w:spacing w:before="24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rFonts w:ascii="Times New Roman" w:hAnsi="Times New Roman"/>
          <w:sz w:val="20"/>
        </w:rPr>
      </w:pPr>
      <w:r>
        <w:rPr>
          <w:rFonts w:ascii="Times New Roman" w:hAnsi="Times New Roman"/>
          <w:sz w:val="20"/>
        </w:rPr>
        <w:t xml:space="preserve">Attn: Juan Grana, Esq.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above-reference Registration Statement, and pursuant to Rule 461 under the Securities Act of 1933, as amended (the “Act”), and as representatives of the several underwriters of the proposed public offering of Medline Inc.’s (the “Company”) Class A common stock, we wish to advise you that we hereby join the Company’s request that the effective date of the above-referenced Registration Statement be accelerated so that it may become effective at 4:05 p.m., Washington, D.C. time, on May 21, 2026 or as soon as possible thereafter or at such later time as the Company or its counsel may request.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460 under the Act, we, as representatives of the several underwriters, wish to advise you that there will be distributed to each underwriter or dealer, who is reasonably anticipated to participate in the distribution of the security, as many copies of the proposed form of preliminary prospectus as appears to be reasonable to secure adequate distribution of the preliminary prospectus.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as representatives of the several underwriters, have complied and will continue to comply, and we have been informed by the participating underwriters that they have complied and will continue to comply, with the requirements of Rule 15c2-8 under the Securities Exchange Act of 1934, as amended.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b/>
          <w:sz w:val="20"/>
        </w:rPr>
      </w:pPr>
      <w:r>
        <w:rPr>
          <w:rFonts w:ascii="Times New Roman" w:hAnsi="Times New Roman"/>
          <w:b/>
          <w:sz w:val="20"/>
        </w:rPr>
        <w:t xml:space="preserve">GOLDMAN SACHS &amp; CO. LLC </w:t>
      </w:r>
    </w:p>
    <w:p>
      <w:pPr>
        <w:pStyle w:val="TextBody"/>
        <w:bidi w:val="0"/>
        <w:spacing w:before="0" w:after="0"/>
        <w:jc w:val="left"/>
        <w:rPr>
          <w:rFonts w:ascii="Times New Roman" w:hAnsi="Times New Roman"/>
          <w:b/>
          <w:sz w:val="20"/>
        </w:rPr>
      </w:pPr>
      <w:r>
        <w:rPr>
          <w:rFonts w:ascii="Times New Roman" w:hAnsi="Times New Roman"/>
          <w:b/>
          <w:sz w:val="20"/>
        </w:rPr>
        <w:t xml:space="preserve">MORGAN STANLEY &amp; CO. LLC </w:t>
      </w:r>
    </w:p>
    <w:p>
      <w:pPr>
        <w:pStyle w:val="TextBody"/>
        <w:bidi w:val="0"/>
        <w:spacing w:before="0" w:after="0"/>
        <w:jc w:val="left"/>
        <w:rPr>
          <w:rFonts w:ascii="Times New Roman" w:hAnsi="Times New Roman"/>
          <w:b/>
          <w:sz w:val="20"/>
        </w:rPr>
      </w:pPr>
      <w:r>
        <w:rPr>
          <w:rFonts w:ascii="Times New Roman" w:hAnsi="Times New Roman"/>
          <w:b/>
          <w:sz w:val="20"/>
        </w:rPr>
        <w:t xml:space="preserve">BOFA SECURITIES, INC. </w:t>
      </w:r>
    </w:p>
    <w:p>
      <w:pPr>
        <w:pStyle w:val="TextBody"/>
        <w:bidi w:val="0"/>
        <w:spacing w:before="0" w:after="0"/>
        <w:jc w:val="left"/>
        <w:rPr>
          <w:rFonts w:ascii="Times New Roman" w:hAnsi="Times New Roman"/>
          <w:b/>
          <w:sz w:val="20"/>
        </w:rPr>
      </w:pPr>
      <w:r>
        <w:rPr>
          <w:rFonts w:ascii="Times New Roman" w:hAnsi="Times New Roman"/>
          <w:b/>
          <w:sz w:val="20"/>
        </w:rPr>
        <w:t xml:space="preserve">J.P. MORGAN SECURITIES LLC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3"/>
        <w:gridCol w:w="60"/>
        <w:gridCol w:w="3659"/>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 Representatives of the Underwriters</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GOLDMAN SACHS &amp; CO. LLC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Lyla Bibi Maduri</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Name: Lyla Bibi Maduri</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Title: Managing Director</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MORGAN STANLEY &amp; CO. LLC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Kalli Dircks</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Name: Kalli Dircks</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Title: Managing Director</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BOFA SECURITIES, INC.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Justin Walter</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Name: Justin Walter</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Title: Managing Director</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J.P. MORGAN SECURITIES LLC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Benjamin Burdett</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Name: Benjamin Burdett</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Title: Head of Healthcare ECM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658</Words>
  <Characters>3524</Characters>
  <CharactersWithSpaces>4199</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