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December 16, 2025.</w:t>
      </w:r>
    </w:p>
    <w:p>
      <w:pPr>
        <w:spacing w:after="0" w:line="27"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53340</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86360</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102235</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82550</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Medline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99060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220" w:lineRule="exact"/>
        <w:rPr>
          <w:sz w:val="24"/>
          <w:szCs w:val="24"/>
          <w:color w:val="auto"/>
        </w:rPr>
      </w:pPr>
    </w:p>
    <w:tbl>
      <w:tblPr>
        <w:tblLayout w:type="fixed"/>
        <w:tblInd w:w="980" w:type="dxa"/>
        <w:tblCellMar>
          <w:top w:w="0" w:type="dxa"/>
          <w:left w:w="0" w:type="dxa"/>
          <w:bottom w:w="0" w:type="dxa"/>
          <w:right w:w="0" w:type="dxa"/>
        </w:tblCellMar>
      </w:tblPr>
      <w:tr>
        <w:trPr>
          <w:trHeight w:val="166"/>
        </w:trPr>
        <w:tc>
          <w:tcPr>
            <w:tcW w:w="218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3841</w:t>
            </w:r>
          </w:p>
        </w:tc>
        <w:tc>
          <w:tcPr>
            <w:tcW w:w="1700" w:type="dxa"/>
            <w:vAlign w:val="bottom"/>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w w:val="97"/>
              </w:rPr>
              <w:t>33-1845288</w:t>
            </w:r>
          </w:p>
        </w:tc>
      </w:tr>
      <w:tr>
        <w:trPr>
          <w:trHeight w:val="114"/>
        </w:trPr>
        <w:tc>
          <w:tcPr>
            <w:tcW w:w="218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60" w:type="dxa"/>
            <w:vAlign w:val="bottom"/>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00" w:type="dxa"/>
            <w:vAlign w:val="bottom"/>
          </w:tcPr>
          <w:p>
            <w:pPr>
              <w:jc w:val="center"/>
              <w:ind w:left="760"/>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18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6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00" w:type="dxa"/>
            <w:vAlign w:val="bottom"/>
          </w:tcPr>
          <w:p>
            <w:pPr>
              <w:jc w:val="center"/>
              <w:ind w:left="780"/>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3 Lakes Drive</w:t>
      </w:r>
    </w:p>
    <w:p>
      <w:pPr>
        <w:jc w:val="center"/>
        <w:spacing w:after="0" w:line="220" w:lineRule="auto"/>
        <w:rPr>
          <w:sz w:val="20"/>
          <w:szCs w:val="20"/>
          <w:color w:val="auto"/>
        </w:rPr>
      </w:pPr>
      <w:r>
        <w:rPr>
          <w:rFonts w:ascii="Times New Roman" w:cs="Times New Roman" w:eastAsia="Times New Roman" w:hAnsi="Times New Roman"/>
          <w:sz w:val="11"/>
          <w:szCs w:val="11"/>
          <w:b w:val="1"/>
          <w:bCs w:val="1"/>
          <w:color w:val="auto"/>
        </w:rPr>
        <w:t>Northfield, Illinois 60093</w:t>
      </w:r>
    </w:p>
    <w:p>
      <w:pPr>
        <w:jc w:val="center"/>
        <w:spacing w:after="0" w:line="217" w:lineRule="auto"/>
        <w:rPr>
          <w:sz w:val="20"/>
          <w:szCs w:val="20"/>
          <w:color w:val="auto"/>
        </w:rPr>
      </w:pPr>
      <w:r>
        <w:rPr>
          <w:rFonts w:ascii="Times New Roman" w:cs="Times New Roman" w:eastAsia="Times New Roman" w:hAnsi="Times New Roman"/>
          <w:sz w:val="11"/>
          <w:szCs w:val="11"/>
          <w:b w:val="1"/>
          <w:bCs w:val="1"/>
          <w:color w:val="auto"/>
        </w:rPr>
        <w:t>Telephone: (847) 949-5500</w:t>
      </w: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74930</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James Boyle</w:t>
      </w:r>
    </w:p>
    <w:p>
      <w:pPr>
        <w:jc w:val="center"/>
        <w:spacing w:after="0" w:line="220"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spacing w:after="0" w:line="217" w:lineRule="auto"/>
        <w:rPr>
          <w:sz w:val="20"/>
          <w:szCs w:val="20"/>
          <w:color w:val="auto"/>
        </w:rPr>
      </w:pPr>
      <w:r>
        <w:rPr>
          <w:rFonts w:ascii="Times New Roman" w:cs="Times New Roman" w:eastAsia="Times New Roman" w:hAnsi="Times New Roman"/>
          <w:sz w:val="11"/>
          <w:szCs w:val="11"/>
          <w:b w:val="1"/>
          <w:bCs w:val="1"/>
          <w:color w:val="auto"/>
        </w:rPr>
        <w:t>Medline Inc.</w:t>
      </w:r>
    </w:p>
    <w:p>
      <w:pPr>
        <w:jc w:val="center"/>
        <w:spacing w:after="0" w:line="217" w:lineRule="auto"/>
        <w:rPr>
          <w:sz w:val="20"/>
          <w:szCs w:val="20"/>
          <w:color w:val="auto"/>
        </w:rPr>
      </w:pPr>
      <w:r>
        <w:rPr>
          <w:rFonts w:ascii="Times New Roman" w:cs="Times New Roman" w:eastAsia="Times New Roman" w:hAnsi="Times New Roman"/>
          <w:sz w:val="11"/>
          <w:szCs w:val="11"/>
          <w:b w:val="1"/>
          <w:bCs w:val="1"/>
          <w:color w:val="auto"/>
        </w:rPr>
        <w:t>3 Lakes Drive</w:t>
      </w:r>
    </w:p>
    <w:p>
      <w:pPr>
        <w:jc w:val="center"/>
        <w:spacing w:after="0" w:line="217" w:lineRule="auto"/>
        <w:rPr>
          <w:sz w:val="20"/>
          <w:szCs w:val="20"/>
          <w:color w:val="auto"/>
        </w:rPr>
      </w:pPr>
      <w:r>
        <w:rPr>
          <w:rFonts w:ascii="Times New Roman" w:cs="Times New Roman" w:eastAsia="Times New Roman" w:hAnsi="Times New Roman"/>
          <w:sz w:val="11"/>
          <w:szCs w:val="11"/>
          <w:b w:val="1"/>
          <w:bCs w:val="1"/>
          <w:color w:val="auto"/>
        </w:rPr>
        <w:t>Northfield, Illinois 60093</w:t>
      </w:r>
    </w:p>
    <w:p>
      <w:pPr>
        <w:jc w:val="center"/>
        <w:spacing w:after="0" w:line="217" w:lineRule="auto"/>
        <w:rPr>
          <w:sz w:val="20"/>
          <w:szCs w:val="20"/>
          <w:color w:val="auto"/>
        </w:rPr>
      </w:pPr>
      <w:r>
        <w:rPr>
          <w:rFonts w:ascii="Times New Roman" w:cs="Times New Roman" w:eastAsia="Times New Roman" w:hAnsi="Times New Roman"/>
          <w:sz w:val="11"/>
          <w:szCs w:val="11"/>
          <w:b w:val="1"/>
          <w:bCs w:val="1"/>
          <w:color w:val="auto"/>
        </w:rPr>
        <w:t>Telephone: (847) 949-5500</w:t>
      </w: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88265</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72" w:lineRule="exact"/>
        <w:rPr>
          <w:sz w:val="24"/>
          <w:szCs w:val="24"/>
          <w:color w:val="auto"/>
        </w:rPr>
      </w:pPr>
    </w:p>
    <w:tbl>
      <w:tblPr>
        <w:tblLayout w:type="fixed"/>
        <w:tblInd w:w="900" w:type="dxa"/>
        <w:tblCellMar>
          <w:top w:w="0" w:type="dxa"/>
          <w:left w:w="0" w:type="dxa"/>
          <w:bottom w:w="0" w:type="dxa"/>
          <w:right w:w="0" w:type="dxa"/>
        </w:tblCellMar>
      </w:tblPr>
      <w:tr>
        <w:trPr>
          <w:trHeight w:val="145"/>
        </w:trPr>
        <w:tc>
          <w:tcPr>
            <w:tcW w:w="2340" w:type="dxa"/>
            <w:vAlign w:val="bottom"/>
          </w:tcPr>
          <w:p>
            <w:pPr>
              <w:spacing w:after="0"/>
              <w:rPr>
                <w:sz w:val="12"/>
                <w:szCs w:val="12"/>
                <w:color w:val="auto"/>
              </w:rPr>
            </w:pPr>
          </w:p>
        </w:tc>
        <w:tc>
          <w:tcPr>
            <w:tcW w:w="2760" w:type="dxa"/>
            <w:vAlign w:val="bottom"/>
          </w:tcPr>
          <w:p>
            <w:pPr>
              <w:ind w:left="104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c>
          <w:tcPr>
            <w:tcW w:w="2000" w:type="dxa"/>
            <w:vAlign w:val="bottom"/>
          </w:tcPr>
          <w:p>
            <w:pPr>
              <w:spacing w:after="0"/>
              <w:rPr>
                <w:sz w:val="12"/>
                <w:szCs w:val="12"/>
                <w:color w:val="auto"/>
              </w:rPr>
            </w:pPr>
          </w:p>
        </w:tc>
      </w:tr>
      <w:tr>
        <w:trPr>
          <w:trHeight w:val="178"/>
        </w:trPr>
        <w:tc>
          <w:tcPr>
            <w:tcW w:w="234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rPr>
              <w:t>Joshua Ford Bonnie</w:t>
            </w: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Alex Liberman</w:t>
            </w:r>
          </w:p>
        </w:tc>
        <w:tc>
          <w:tcPr>
            <w:tcW w:w="2000" w:type="dxa"/>
            <w:vAlign w:val="bottom"/>
          </w:tcPr>
          <w:p>
            <w:pPr>
              <w:jc w:val="center"/>
              <w:ind w:left="725"/>
              <w:spacing w:after="0"/>
              <w:rPr>
                <w:sz w:val="20"/>
                <w:szCs w:val="20"/>
                <w:color w:val="auto"/>
              </w:rPr>
            </w:pPr>
            <w:r>
              <w:rPr>
                <w:rFonts w:ascii="Times New Roman" w:cs="Times New Roman" w:eastAsia="Times New Roman" w:hAnsi="Times New Roman"/>
                <w:sz w:val="11"/>
                <w:szCs w:val="11"/>
                <w:b w:val="1"/>
                <w:bCs w:val="1"/>
                <w:color w:val="auto"/>
                <w:w w:val="99"/>
              </w:rPr>
              <w:t>Jason M. Licht</w:t>
            </w:r>
          </w:p>
        </w:tc>
      </w:tr>
      <w:tr>
        <w:trPr>
          <w:trHeight w:val="114"/>
        </w:trPr>
        <w:tc>
          <w:tcPr>
            <w:tcW w:w="2340" w:type="dxa"/>
            <w:vAlign w:val="bottom"/>
          </w:tcPr>
          <w:p>
            <w:pPr>
              <w:jc w:val="center"/>
              <w:ind w:right="665"/>
              <w:spacing w:after="0" w:line="115" w:lineRule="exact"/>
              <w:rPr>
                <w:sz w:val="20"/>
                <w:szCs w:val="20"/>
                <w:color w:val="auto"/>
              </w:rPr>
            </w:pPr>
            <w:r>
              <w:rPr>
                <w:rFonts w:ascii="Times New Roman" w:cs="Times New Roman" w:eastAsia="Times New Roman" w:hAnsi="Times New Roman"/>
                <w:sz w:val="11"/>
                <w:szCs w:val="11"/>
                <w:b w:val="1"/>
                <w:bCs w:val="1"/>
                <w:color w:val="auto"/>
              </w:rPr>
              <w:t>Jonathan R. Ozner</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Chief Legal Officer</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Patrick H. Shannon</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rPr>
              <w:t>Katharine L. Thompson</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Medline Inc.</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Cathy A. Birkeland</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rPr>
              <w:t>Simpson Thacher &amp; Bartlett LLP</w:t>
            </w:r>
          </w:p>
        </w:tc>
        <w:tc>
          <w:tcPr>
            <w:tcW w:w="2760" w:type="dxa"/>
            <w:vAlign w:val="bottom"/>
          </w:tcPr>
          <w:p>
            <w:pPr>
              <w:jc w:val="center"/>
              <w:ind w:right="5"/>
              <w:spacing w:after="0" w:line="115" w:lineRule="exact"/>
              <w:rPr>
                <w:sz w:val="20"/>
                <w:szCs w:val="20"/>
                <w:color w:val="auto"/>
              </w:rPr>
            </w:pPr>
            <w:r>
              <w:rPr>
                <w:rFonts w:ascii="Times New Roman" w:cs="Times New Roman" w:eastAsia="Times New Roman" w:hAnsi="Times New Roman"/>
                <w:sz w:val="11"/>
                <w:szCs w:val="11"/>
                <w:b w:val="1"/>
                <w:bCs w:val="1"/>
                <w:color w:val="auto"/>
              </w:rPr>
              <w:t>3 Lakes Drive</w:t>
            </w:r>
          </w:p>
        </w:tc>
        <w:tc>
          <w:tcPr>
            <w:tcW w:w="2000" w:type="dxa"/>
            <w:vAlign w:val="bottom"/>
          </w:tcPr>
          <w:p>
            <w:pPr>
              <w:jc w:val="center"/>
              <w:ind w:left="705"/>
              <w:spacing w:after="0" w:line="115" w:lineRule="exact"/>
              <w:rPr>
                <w:sz w:val="20"/>
                <w:szCs w:val="20"/>
                <w:color w:val="auto"/>
              </w:rPr>
            </w:pPr>
            <w:r>
              <w:rPr>
                <w:rFonts w:ascii="Times New Roman" w:cs="Times New Roman" w:eastAsia="Times New Roman" w:hAnsi="Times New Roman"/>
                <w:sz w:val="11"/>
                <w:szCs w:val="11"/>
                <w:b w:val="1"/>
                <w:bCs w:val="1"/>
                <w:color w:val="auto"/>
              </w:rPr>
              <w:t>Latham &amp; Watkins LLP</w:t>
            </w:r>
          </w:p>
        </w:tc>
      </w:tr>
      <w:tr>
        <w:trPr>
          <w:trHeight w:val="114"/>
        </w:trPr>
        <w:tc>
          <w:tcPr>
            <w:tcW w:w="2340" w:type="dxa"/>
            <w:vAlign w:val="bottom"/>
          </w:tcPr>
          <w:p>
            <w:pPr>
              <w:jc w:val="center"/>
              <w:ind w:right="685"/>
              <w:spacing w:after="0" w:line="115" w:lineRule="exact"/>
              <w:rPr>
                <w:sz w:val="20"/>
                <w:szCs w:val="20"/>
                <w:color w:val="auto"/>
              </w:rPr>
            </w:pPr>
            <w:r>
              <w:rPr>
                <w:rFonts w:ascii="Times New Roman" w:cs="Times New Roman" w:eastAsia="Times New Roman" w:hAnsi="Times New Roman"/>
                <w:sz w:val="11"/>
                <w:szCs w:val="11"/>
                <w:b w:val="1"/>
                <w:bCs w:val="1"/>
                <w:color w:val="auto"/>
                <w:w w:val="99"/>
              </w:rPr>
              <w:t>900 G Street, N.W.</w:t>
            </w:r>
          </w:p>
        </w:tc>
        <w:tc>
          <w:tcPr>
            <w:tcW w:w="2760" w:type="dxa"/>
            <w:vAlign w:val="bottom"/>
          </w:tcPr>
          <w:p>
            <w:pPr>
              <w:jc w:val="center"/>
              <w:ind w:right="5"/>
              <w:spacing w:after="0" w:line="115" w:lineRule="exact"/>
              <w:rPr>
                <w:sz w:val="20"/>
                <w:szCs w:val="20"/>
                <w:color w:val="auto"/>
              </w:rPr>
            </w:pPr>
            <w:r>
              <w:rPr>
                <w:rFonts w:ascii="Times New Roman" w:cs="Times New Roman" w:eastAsia="Times New Roman" w:hAnsi="Times New Roman"/>
                <w:sz w:val="11"/>
                <w:szCs w:val="11"/>
                <w:b w:val="1"/>
                <w:bCs w:val="1"/>
                <w:color w:val="auto"/>
              </w:rPr>
              <w:t>Northfield, Illinois 60093</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rPr>
              <w:t>555 Eleventh Street, N.W.</w:t>
            </w:r>
          </w:p>
        </w:tc>
      </w:tr>
      <w:tr>
        <w:trPr>
          <w:trHeight w:val="114"/>
        </w:trPr>
        <w:tc>
          <w:tcPr>
            <w:tcW w:w="2340" w:type="dxa"/>
            <w:vAlign w:val="bottom"/>
          </w:tcPr>
          <w:p>
            <w:pPr>
              <w:jc w:val="center"/>
              <w:ind w:right="665"/>
              <w:spacing w:after="0" w:line="115" w:lineRule="exact"/>
              <w:rPr>
                <w:sz w:val="20"/>
                <w:szCs w:val="20"/>
                <w:color w:val="auto"/>
              </w:rPr>
            </w:pPr>
            <w:r>
              <w:rPr>
                <w:rFonts w:ascii="Times New Roman" w:cs="Times New Roman" w:eastAsia="Times New Roman" w:hAnsi="Times New Roman"/>
                <w:sz w:val="11"/>
                <w:szCs w:val="11"/>
                <w:b w:val="1"/>
                <w:bCs w:val="1"/>
                <w:color w:val="auto"/>
                <w:w w:val="99"/>
              </w:rPr>
              <w:t>Washington, D.C. 20001</w:t>
            </w:r>
          </w:p>
        </w:tc>
        <w:tc>
          <w:tcPr>
            <w:tcW w:w="2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Telephone: (847) 949-5500</w:t>
            </w:r>
          </w:p>
        </w:tc>
        <w:tc>
          <w:tcPr>
            <w:tcW w:w="2000" w:type="dxa"/>
            <w:vAlign w:val="bottom"/>
          </w:tcPr>
          <w:p>
            <w:pPr>
              <w:jc w:val="center"/>
              <w:ind w:left="725"/>
              <w:spacing w:after="0" w:line="115" w:lineRule="exact"/>
              <w:rPr>
                <w:sz w:val="20"/>
                <w:szCs w:val="20"/>
                <w:color w:val="auto"/>
              </w:rPr>
            </w:pPr>
            <w:r>
              <w:rPr>
                <w:rFonts w:ascii="Times New Roman" w:cs="Times New Roman" w:eastAsia="Times New Roman" w:hAnsi="Times New Roman"/>
                <w:sz w:val="11"/>
                <w:szCs w:val="11"/>
                <w:b w:val="1"/>
                <w:bCs w:val="1"/>
                <w:color w:val="auto"/>
                <w:w w:val="99"/>
              </w:rPr>
              <w:t>Washington, D.C. 20004</w:t>
            </w:r>
          </w:p>
        </w:tc>
      </w:tr>
      <w:tr>
        <w:trPr>
          <w:trHeight w:val="145"/>
        </w:trPr>
        <w:tc>
          <w:tcPr>
            <w:tcW w:w="2340" w:type="dxa"/>
            <w:vAlign w:val="bottom"/>
          </w:tcPr>
          <w:p>
            <w:pPr>
              <w:jc w:val="center"/>
              <w:ind w:right="685"/>
              <w:spacing w:after="0"/>
              <w:rPr>
                <w:sz w:val="20"/>
                <w:szCs w:val="20"/>
                <w:color w:val="auto"/>
              </w:rPr>
            </w:pPr>
            <w:r>
              <w:rPr>
                <w:rFonts w:ascii="Times New Roman" w:cs="Times New Roman" w:eastAsia="Times New Roman" w:hAnsi="Times New Roman"/>
                <w:sz w:val="11"/>
                <w:szCs w:val="11"/>
                <w:b w:val="1"/>
                <w:bCs w:val="1"/>
                <w:color w:val="auto"/>
                <w:w w:val="99"/>
              </w:rPr>
              <w:t>Telephone: (202) 636-5500</w:t>
            </w:r>
          </w:p>
        </w:tc>
        <w:tc>
          <w:tcPr>
            <w:tcW w:w="2760" w:type="dxa"/>
            <w:vAlign w:val="bottom"/>
          </w:tcPr>
          <w:p>
            <w:pPr>
              <w:spacing w:after="0"/>
              <w:rPr>
                <w:sz w:val="12"/>
                <w:szCs w:val="12"/>
                <w:color w:val="auto"/>
              </w:rPr>
            </w:pPr>
          </w:p>
        </w:tc>
        <w:tc>
          <w:tcPr>
            <w:tcW w:w="2000" w:type="dxa"/>
            <w:vAlign w:val="bottom"/>
          </w:tcPr>
          <w:p>
            <w:pPr>
              <w:jc w:val="center"/>
              <w:ind w:left="705"/>
              <w:spacing w:after="0"/>
              <w:rPr>
                <w:sz w:val="20"/>
                <w:szCs w:val="20"/>
                <w:color w:val="auto"/>
              </w:rPr>
            </w:pPr>
            <w:r>
              <w:rPr>
                <w:rFonts w:ascii="Times New Roman" w:cs="Times New Roman" w:eastAsia="Times New Roman" w:hAnsi="Times New Roman"/>
                <w:sz w:val="11"/>
                <w:szCs w:val="11"/>
                <w:b w:val="1"/>
                <w:bCs w:val="1"/>
                <w:color w:val="auto"/>
                <w:w w:val="99"/>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92075</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6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1"/>
          <w:szCs w:val="11"/>
          <w:color w:val="auto"/>
        </w:rPr>
        <w:t xml:space="preserve">Approximate date of commencement of the proposed sale of the securities to the public: </w:t>
      </w:r>
      <w:r>
        <w:rPr>
          <w:rFonts w:ascii="Times New Roman" w:cs="Times New Roman" w:eastAsia="Times New Roman" w:hAnsi="Times New Roman"/>
          <w:sz w:val="11"/>
          <w:szCs w:val="11"/>
          <w:b w:val="1"/>
          <w:bCs w:val="1"/>
          <w:color w:val="auto"/>
        </w:rPr>
        <w:t>As soon as practicable after the Registration Statement becomes effective.</w:t>
      </w:r>
    </w:p>
    <w:p>
      <w:pPr>
        <w:spacing w:after="0" w:line="52" w:lineRule="exact"/>
        <w:rPr>
          <w:sz w:val="24"/>
          <w:szCs w:val="24"/>
          <w:color w:val="auto"/>
        </w:rPr>
      </w:pPr>
    </w:p>
    <w:p>
      <w:pPr>
        <w:ind w:left="260" w:right="53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17" w:lineRule="exact"/>
        <w:rPr>
          <w:sz w:val="24"/>
          <w:szCs w:val="24"/>
          <w:color w:val="auto"/>
        </w:rPr>
      </w:pPr>
    </w:p>
    <w:p>
      <w:pPr>
        <w:ind w:left="260" w:right="71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File No. 333-291112</w:t>
      </w:r>
    </w:p>
    <w:p>
      <w:pPr>
        <w:spacing w:after="0" w:line="17" w:lineRule="exact"/>
        <w:rPr>
          <w:sz w:val="24"/>
          <w:szCs w:val="24"/>
          <w:color w:val="auto"/>
        </w:rPr>
      </w:pPr>
    </w:p>
    <w:p>
      <w:pPr>
        <w:ind w:left="260" w:right="35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7" w:lineRule="exact"/>
        <w:rPr>
          <w:sz w:val="24"/>
          <w:szCs w:val="24"/>
          <w:color w:val="auto"/>
        </w:rPr>
      </w:pPr>
    </w:p>
    <w:p>
      <w:pPr>
        <w:ind w:left="260" w:right="35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7" w:lineRule="exact"/>
        <w:rPr>
          <w:sz w:val="24"/>
          <w:szCs w:val="24"/>
          <w:color w:val="auto"/>
        </w:rPr>
      </w:pPr>
    </w:p>
    <w:p>
      <w:pPr>
        <w:ind w:left="260" w:right="339" w:firstLine="339"/>
        <w:spacing w:after="0" w:line="24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60" w:type="dxa"/>
        <w:tblCellMar>
          <w:top w:w="0" w:type="dxa"/>
          <w:left w:w="0" w:type="dxa"/>
          <w:bottom w:w="0" w:type="dxa"/>
          <w:right w:w="0" w:type="dxa"/>
        </w:tblCellMar>
      </w:tblPr>
      <w:tr>
        <w:trPr>
          <w:trHeight w:val="177"/>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Accelerated filer</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2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5"/>
        </w:trPr>
        <w:tc>
          <w:tcPr>
            <w:tcW w:w="1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980" w:type="dxa"/>
            <w:vAlign w:val="bottom"/>
          </w:tcPr>
          <w:p>
            <w:pPr>
              <w:ind w:left="2520"/>
              <w:spacing w:after="0"/>
              <w:rPr>
                <w:sz w:val="20"/>
                <w:szCs w:val="20"/>
                <w:color w:val="auto"/>
              </w:rPr>
            </w:pPr>
            <w:r>
              <w:rPr>
                <w:rFonts w:ascii="Times New Roman" w:cs="Times New Roman" w:eastAsia="Times New Roman" w:hAnsi="Times New Roman"/>
                <w:sz w:val="11"/>
                <w:szCs w:val="11"/>
                <w:color w:val="auto"/>
              </w:rPr>
              <w:t>Emerging growth company</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 w:lineRule="exact"/>
        <w:rPr>
          <w:sz w:val="24"/>
          <w:szCs w:val="24"/>
          <w:color w:val="auto"/>
        </w:rPr>
      </w:pPr>
    </w:p>
    <w:p>
      <w:pPr>
        <w:ind w:left="260" w:right="719" w:firstLine="339"/>
        <w:spacing w:after="0" w:line="14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2295525</wp:posOffset>
            </wp:positionH>
            <wp:positionV relativeFrom="paragraph">
              <wp:posOffset>87630</wp:posOffset>
            </wp:positionV>
            <wp:extent cx="112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61" w:lineRule="exact"/>
        <w:rPr>
          <w:sz w:val="24"/>
          <w:szCs w:val="24"/>
          <w:color w:val="auto"/>
        </w:rPr>
      </w:pPr>
    </w:p>
    <w:p>
      <w:pPr>
        <w:ind w:left="260" w:right="659" w:firstLine="339"/>
        <w:spacing w:after="0" w:line="251" w:lineRule="auto"/>
        <w:rPr>
          <w:sz w:val="20"/>
          <w:szCs w:val="20"/>
          <w:color w:val="auto"/>
        </w:rPr>
      </w:pPr>
      <w:r>
        <w:rPr>
          <w:rFonts w:ascii="Times New Roman" w:cs="Times New Roman" w:eastAsia="Times New Roman" w:hAnsi="Times New Roman"/>
          <w:sz w:val="11"/>
          <w:szCs w:val="11"/>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35560</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68580</wp:posOffset>
            </wp:positionV>
            <wp:extent cx="5387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9019"/>
          </w:cols>
          <w:pgMar w:left="1440" w:top="21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EXPLANATORY NOTE AND INCORPORATION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INFORMATION BY REFERENCE</w:t>
      </w:r>
    </w:p>
    <w:p>
      <w:pPr>
        <w:spacing w:after="0" w:line="157" w:lineRule="exact"/>
        <w:rPr>
          <w:sz w:val="20"/>
          <w:szCs w:val="20"/>
          <w:color w:val="auto"/>
        </w:rPr>
      </w:pPr>
    </w:p>
    <w:p>
      <w:pPr>
        <w:ind w:left="260" w:right="279" w:firstLine="339"/>
        <w:spacing w:after="0" w:line="252" w:lineRule="auto"/>
        <w:rPr>
          <w:sz w:val="20"/>
          <w:szCs w:val="20"/>
          <w:color w:val="auto"/>
        </w:rPr>
      </w:pPr>
      <w:r>
        <w:rPr>
          <w:rFonts w:ascii="Times New Roman" w:cs="Times New Roman" w:eastAsia="Times New Roman" w:hAnsi="Times New Roman"/>
          <w:sz w:val="14"/>
          <w:szCs w:val="14"/>
          <w:color w:val="auto"/>
        </w:rPr>
        <w:t>This Registration Statement on Form S-1 is being filed with the Securities and Exchange Commission (the “Commission”) pursuant to Rule 462(b) under the Securities Act of 1933, as amended, by Medline Inc. (the “Registrant”). This Registration Statement incorporates by reference the contents of, including all exhibits to, the Registrant’s Registration Statement on Form S-1 (File No. 333-291112), as amended, which was declared effective by the Commission on December 16, 2025 (the “Prior Registration Statement”). The Registrant is filing this Registration Statement for the sole purpose of registering the sale of an additional 42,589,654 shares of the Registrant’s Class A common stock, which includes 5,555,172 shares of Class A common stock that may be sold as part of the underwriters’ option to purchase additional shares. The additional shares that are being registered for sale are in an amount and at a price that together represent no more than 20% of the maximum aggregate offering price set forth in the filing fee table filed as Exhibit 107 to the Prior Registration Statement.</w:t>
      </w:r>
    </w:p>
    <w:p>
      <w:pPr>
        <w:spacing w:after="0" w:line="145" w:lineRule="exact"/>
        <w:rPr>
          <w:sz w:val="20"/>
          <w:szCs w:val="20"/>
          <w:color w:val="auto"/>
        </w:rPr>
      </w:pPr>
    </w:p>
    <w:p>
      <w:pPr>
        <w:ind w:left="260" w:right="319" w:firstLine="339"/>
        <w:spacing w:after="0" w:line="263" w:lineRule="auto"/>
        <w:rPr>
          <w:sz w:val="20"/>
          <w:szCs w:val="20"/>
          <w:color w:val="auto"/>
        </w:rPr>
      </w:pPr>
      <w:r>
        <w:rPr>
          <w:rFonts w:ascii="Times New Roman" w:cs="Times New Roman" w:eastAsia="Times New Roman" w:hAnsi="Times New Roman"/>
          <w:sz w:val="14"/>
          <w:szCs w:val="14"/>
          <w:color w:val="auto"/>
        </w:rPr>
        <w:t>The Registrant hereby (i) undertakes to pay the Commission the filing fee set forth in Exhibit 107 of this Registration Statement by a wire transfer of such amount as soon as practicable (but no later than the close of business on December 17, 2025) and (ii) certifies that it has sufficient funds in the relevant account to cover the amount of such filing fee.</w:t>
      </w:r>
    </w:p>
    <w:p>
      <w:pPr>
        <w:sectPr>
          <w:pgSz w:w="11900" w:h="16838" w:orient="portrait"/>
          <w:cols w:equalWidth="0" w:num="1">
            <w:col w:w="9019"/>
          </w:cols>
          <w:pgMar w:left="1440" w:top="237" w:right="1440" w:bottom="1440" w:gutter="0" w:footer="0" w:header="0"/>
        </w:sectPr>
      </w:pPr>
    </w:p>
    <w:bookmarkStart w:id="2" w:name="page3"/>
    <w:bookmarkEnd w:id="2"/>
    <w:tbl>
      <w:tblPr>
        <w:tblLayout w:type="fixed"/>
        <w:tblInd w:w="260" w:type="dxa"/>
        <w:tblCellMar>
          <w:top w:w="0" w:type="dxa"/>
          <w:left w:w="0" w:type="dxa"/>
          <w:bottom w:w="0" w:type="dxa"/>
          <w:right w:w="0" w:type="dxa"/>
        </w:tblCellMar>
      </w:tblPr>
      <w:tr>
        <w:trPr>
          <w:trHeight w:val="183"/>
        </w:trPr>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80" w:type="dxa"/>
            <w:vAlign w:val="bottom"/>
            <w:gridSpan w:val="6"/>
          </w:tcPr>
          <w:p>
            <w:pPr>
              <w:ind w:left="24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12"/>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66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9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660" w:type="dxa"/>
            <w:vAlign w:val="bottom"/>
          </w:tcPr>
          <w:p>
            <w:pPr>
              <w:spacing w:after="0"/>
              <w:rPr>
                <w:sz w:val="17"/>
                <w:szCs w:val="17"/>
                <w:color w:val="auto"/>
              </w:rPr>
            </w:pPr>
          </w:p>
        </w:tc>
        <w:tc>
          <w:tcPr>
            <w:tcW w:w="7280" w:type="dxa"/>
            <w:vAlign w:val="bottom"/>
            <w:gridSpan w:val="6"/>
          </w:tcPr>
          <w:p>
            <w:pPr>
              <w:spacing w:after="0"/>
              <w:rPr>
                <w:rFonts w:ascii="Times New Roman" w:cs="Times New Roman" w:eastAsia="Times New Roman" w:hAnsi="Times New Roman"/>
                <w:sz w:val="14"/>
                <w:szCs w:val="14"/>
                <w:color w:val="0000EE"/>
                <w:w w:val="98"/>
              </w:rPr>
            </w:pPr>
            <w:hyperlink r:id="rId20">
              <w:r>
                <w:rPr>
                  <w:rFonts w:ascii="Times New Roman" w:cs="Times New Roman" w:eastAsia="Times New Roman" w:hAnsi="Times New Roman"/>
                  <w:sz w:val="14"/>
                  <w:szCs w:val="14"/>
                  <w:color w:val="0000EE"/>
                  <w:w w:val="98"/>
                </w:rPr>
                <w:t>Opinion of Simpson Thacher &amp; Bartlett LLP (filed as Exhibit 5.1 to the Registration Statement on Form S-1 filed by the Registrant</w:t>
              </w:r>
            </w:hyperlink>
          </w:p>
        </w:tc>
      </w:tr>
      <w:tr>
        <w:trPr>
          <w:trHeight w:val="146"/>
        </w:trPr>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580" w:type="dxa"/>
            <w:vAlign w:val="bottom"/>
            <w:tcBorders>
              <w:top w:val="single" w:sz="8" w:color="0000EE"/>
              <w:bottom w:val="single" w:sz="8" w:color="0000EE"/>
            </w:tcBorders>
            <w:gridSpan w:val="3"/>
          </w:tcPr>
          <w:p>
            <w:pPr>
              <w:spacing w:after="0" w:line="147" w:lineRule="exact"/>
              <w:rPr>
                <w:rFonts w:ascii="Times New Roman" w:cs="Times New Roman" w:eastAsia="Times New Roman" w:hAnsi="Times New Roman"/>
                <w:sz w:val="14"/>
                <w:szCs w:val="14"/>
                <w:color w:val="0000EE"/>
                <w:w w:val="98"/>
              </w:rPr>
            </w:pPr>
            <w:hyperlink r:id="rId20">
              <w:r>
                <w:rPr>
                  <w:rFonts w:ascii="Times New Roman" w:cs="Times New Roman" w:eastAsia="Times New Roman" w:hAnsi="Times New Roman"/>
                  <w:sz w:val="14"/>
                  <w:szCs w:val="14"/>
                  <w:color w:val="0000EE"/>
                  <w:w w:val="98"/>
                </w:rPr>
                <w:t>on December 8, 2025 (File No. 333-291112) and incorporated herein by reference)</w:t>
              </w:r>
            </w:hyperlink>
          </w:p>
        </w:tc>
        <w:tc>
          <w:tcPr>
            <w:tcW w:w="2680" w:type="dxa"/>
            <w:vAlign w:val="bottom"/>
            <w:tcBorders>
              <w:top w:val="single" w:sz="8" w:color="0000EE"/>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660" w:type="dxa"/>
            <w:vAlign w:val="bottom"/>
          </w:tcPr>
          <w:p>
            <w:pPr>
              <w:spacing w:after="0"/>
              <w:rPr>
                <w:sz w:val="19"/>
                <w:szCs w:val="19"/>
                <w:color w:val="auto"/>
              </w:rPr>
            </w:pPr>
          </w:p>
        </w:tc>
        <w:tc>
          <w:tcPr>
            <w:tcW w:w="728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Consent of Ernst &amp; Young LLP as to Medline Holdings, LP</w:t>
            </w:r>
          </w:p>
        </w:tc>
      </w:tr>
      <w:tr>
        <w:trPr>
          <w:trHeight w:val="20"/>
        </w:trPr>
        <w:tc>
          <w:tcPr>
            <w:tcW w:w="5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660" w:type="dxa"/>
            <w:vAlign w:val="bottom"/>
          </w:tcPr>
          <w:p>
            <w:pPr>
              <w:spacing w:after="0"/>
              <w:rPr>
                <w:sz w:val="19"/>
                <w:szCs w:val="19"/>
                <w:color w:val="auto"/>
              </w:rPr>
            </w:pPr>
          </w:p>
        </w:tc>
        <w:tc>
          <w:tcPr>
            <w:tcW w:w="434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9"/>
              </w:rPr>
            </w:pPr>
            <w:hyperlink r:id="rId20">
              <w:r>
                <w:rPr>
                  <w:rFonts w:ascii="Times New Roman" w:cs="Times New Roman" w:eastAsia="Times New Roman" w:hAnsi="Times New Roman"/>
                  <w:sz w:val="14"/>
                  <w:szCs w:val="14"/>
                  <w:color w:val="0000EE"/>
                  <w:w w:val="99"/>
                </w:rPr>
                <w:t>Consent of Simpson Thacher &amp; Bartlett LLP (included as part of Exhibit 5.1)</w:t>
              </w:r>
            </w:hyperlink>
          </w:p>
        </w:tc>
        <w:tc>
          <w:tcPr>
            <w:tcW w:w="2940" w:type="dxa"/>
            <w:vAlign w:val="bottom"/>
            <w:gridSpan w:val="4"/>
          </w:tcPr>
          <w:p>
            <w:pPr>
              <w:spacing w:after="0"/>
              <w:rPr>
                <w:sz w:val="19"/>
                <w:szCs w:val="19"/>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660" w:type="dxa"/>
            <w:vAlign w:val="bottom"/>
          </w:tcPr>
          <w:p>
            <w:pPr>
              <w:spacing w:after="0"/>
              <w:rPr>
                <w:sz w:val="19"/>
                <w:szCs w:val="19"/>
                <w:color w:val="auto"/>
              </w:rPr>
            </w:pPr>
          </w:p>
        </w:tc>
        <w:tc>
          <w:tcPr>
            <w:tcW w:w="7280" w:type="dxa"/>
            <w:vAlign w:val="bottom"/>
            <w:gridSpan w:val="6"/>
          </w:tcPr>
          <w:p>
            <w:pPr>
              <w:spacing w:after="0"/>
              <w:rPr>
                <w:rFonts w:ascii="Times New Roman" w:cs="Times New Roman" w:eastAsia="Times New Roman" w:hAnsi="Times New Roman"/>
                <w:sz w:val="14"/>
                <w:szCs w:val="14"/>
                <w:color w:val="0000EE"/>
              </w:rPr>
            </w:pPr>
            <w:hyperlink r:id="rId21">
              <w:r>
                <w:rPr>
                  <w:rFonts w:ascii="Times New Roman" w:cs="Times New Roman" w:eastAsia="Times New Roman" w:hAnsi="Times New Roman"/>
                  <w:sz w:val="14"/>
                  <w:szCs w:val="14"/>
                  <w:color w:val="0000EE"/>
                </w:rPr>
                <w:t>Power of Attorney (included in the signature page to the Registration Statement on Form S-1 filed by the Registrant on</w:t>
              </w:r>
            </w:hyperlink>
          </w:p>
        </w:tc>
      </w:tr>
      <w:tr>
        <w:trPr>
          <w:trHeight w:val="146"/>
        </w:trPr>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580" w:type="dxa"/>
            <w:vAlign w:val="bottom"/>
            <w:tcBorders>
              <w:top w:val="single" w:sz="8" w:color="0000EE"/>
            </w:tcBorders>
            <w:gridSpan w:val="4"/>
          </w:tcPr>
          <w:p>
            <w:pPr>
              <w:spacing w:after="0" w:line="147" w:lineRule="exact"/>
              <w:rPr>
                <w:rFonts w:ascii="Times New Roman" w:cs="Times New Roman" w:eastAsia="Times New Roman" w:hAnsi="Times New Roman"/>
                <w:sz w:val="14"/>
                <w:szCs w:val="14"/>
                <w:color w:val="0000EE"/>
              </w:rPr>
            </w:pPr>
            <w:hyperlink r:id="rId21">
              <w:r>
                <w:rPr>
                  <w:rFonts w:ascii="Times New Roman" w:cs="Times New Roman" w:eastAsia="Times New Roman" w:hAnsi="Times New Roman"/>
                  <w:sz w:val="14"/>
                  <w:szCs w:val="14"/>
                  <w:color w:val="0000EE"/>
                </w:rPr>
                <w:t>October 28, 2025 (File No. 333-291112) and incorporated herein by reference)</w:t>
              </w:r>
            </w:hyperlink>
          </w:p>
        </w:tc>
        <w:tc>
          <w:tcPr>
            <w:tcW w:w="700" w:type="dxa"/>
            <w:vAlign w:val="bottom"/>
            <w:gridSpan w:val="2"/>
          </w:tcPr>
          <w:p>
            <w:pPr>
              <w:spacing w:after="0"/>
              <w:rPr>
                <w:sz w:val="12"/>
                <w:szCs w:val="12"/>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ind w:left="1460" w:hanging="1198"/>
        <w:spacing w:after="0"/>
        <w:tabs>
          <w:tab w:leader="none" w:pos="1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ectPr>
          <w:pgSz w:w="11900" w:h="16838" w:orient="portrait"/>
          <w:cols w:equalWidth="0" w:num="1">
            <w:col w:w="9019"/>
          </w:cols>
          <w:pgMar w:left="1440" w:top="23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SIGNATURES</w:t>
      </w:r>
    </w:p>
    <w:p>
      <w:pPr>
        <w:spacing w:after="0" w:line="174" w:lineRule="exact"/>
        <w:rPr>
          <w:sz w:val="20"/>
          <w:szCs w:val="20"/>
          <w:color w:val="auto"/>
        </w:rPr>
      </w:pPr>
    </w:p>
    <w:p>
      <w:pPr>
        <w:ind w:left="260" w:right="29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Northfield, State of Illinois, on the 16th day of December, 2025.</w:t>
      </w:r>
    </w:p>
    <w:p>
      <w:pPr>
        <w:spacing w:after="0" w:line="14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MEDLINE INC.</w:t>
      </w:r>
    </w:p>
    <w:p>
      <w:pPr>
        <w:spacing w:after="0" w:line="174" w:lineRule="exact"/>
        <w:rPr>
          <w:sz w:val="20"/>
          <w:szCs w:val="20"/>
          <w:color w:val="auto"/>
        </w:rPr>
      </w:pPr>
    </w:p>
    <w:p>
      <w:pPr>
        <w:ind w:left="5360"/>
        <w:spacing w:after="0"/>
        <w:tabs>
          <w:tab w:leader="none" w:pos="5640" w:val="left"/>
        </w:tabs>
        <w:rPr>
          <w:sz w:val="20"/>
          <w:szCs w:val="20"/>
          <w:color w:val="auto"/>
        </w:rPr>
      </w:pPr>
      <w:r>
        <w:rPr>
          <w:rFonts w:ascii="Times New Roman" w:cs="Times New Roman" w:eastAsia="Times New Roman" w:hAnsi="Times New Roman"/>
          <w:sz w:val="14"/>
          <w:szCs w:val="14"/>
          <w:color w:val="auto"/>
        </w:rPr>
        <w:t>By:</w:t>
        <w:tab/>
        <w:t>/s/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12700</wp:posOffset>
            </wp:positionV>
            <wp:extent cx="198056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980565" cy="635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 James M. Boyle</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67" w:lineRule="exact"/>
        <w:rPr>
          <w:sz w:val="20"/>
          <w:szCs w:val="20"/>
          <w:color w:val="auto"/>
        </w:rPr>
      </w:pPr>
    </w:p>
    <w:p>
      <w:pPr>
        <w:ind w:left="260" w:right="439" w:firstLine="3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16th day of December, 2025.</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44"/>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3"/>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James M. Boyle</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Chief Executive Officer and 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James M. Boyle</w:t>
            </w:r>
          </w:p>
        </w:tc>
        <w:tc>
          <w:tcPr>
            <w:tcW w:w="16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executive officer)</w:t>
            </w: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Chair of the Board of Directors</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Charles N. Mills</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Joseph P. Baratta</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Jacob D. Best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Richard A. Galanti</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Patrick J. Healy</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Andrew J. Mills</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Robert R. Schmidt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Anushka M. Sunder</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Thomas W. Sweet</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328"/>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2"/>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Stephen H. Wise</w:t>
            </w: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r>
    </w:tbl>
    <w:p>
      <w:pPr>
        <w:sectPr>
          <w:pgSz w:w="11900" w:h="16838" w:orient="portrait"/>
          <w:cols w:equalWidth="0" w:num="1">
            <w:col w:w="9019"/>
          </w:cols>
          <w:pgMar w:left="1440" w:top="237" w:right="144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44"/>
        </w:trPr>
        <w:tc>
          <w:tcPr>
            <w:tcW w:w="38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3"/>
        </w:trPr>
        <w:tc>
          <w:tcPr>
            <w:tcW w:w="3400" w:type="dxa"/>
            <w:vAlign w:val="bottom"/>
            <w:tcBorders>
              <w:bottom w:val="single" w:sz="8" w:color="auto"/>
            </w:tcBorders>
            <w:gridSpan w:val="2"/>
          </w:tcPr>
          <w:p>
            <w:pPr>
              <w:jc w:val="center"/>
              <w:ind w:left="43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Officer</w:t>
            </w:r>
          </w:p>
        </w:tc>
      </w:tr>
      <w:tr>
        <w:trPr>
          <w:trHeight w:val="172"/>
        </w:trPr>
        <w:tc>
          <w:tcPr>
            <w:tcW w:w="380" w:type="dxa"/>
            <w:vAlign w:val="bottom"/>
          </w:tcPr>
          <w:p>
            <w:pPr>
              <w:spacing w:after="0"/>
              <w:rPr>
                <w:sz w:val="14"/>
                <w:szCs w:val="14"/>
                <w:color w:val="auto"/>
              </w:rPr>
            </w:pPr>
          </w:p>
        </w:tc>
        <w:tc>
          <w:tcPr>
            <w:tcW w:w="3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8"/>
              </w:rPr>
              <w:t>Michael B. Drazin</w:t>
            </w:r>
          </w:p>
        </w:tc>
        <w:tc>
          <w:tcPr>
            <w:tcW w:w="160" w:type="dxa"/>
            <w:vAlign w:val="bottom"/>
          </w:tcPr>
          <w:p>
            <w:pPr>
              <w:spacing w:after="0"/>
              <w:rPr>
                <w:sz w:val="14"/>
                <w:szCs w:val="1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(principal financial officer and principal accounting officer)</w:t>
            </w:r>
          </w:p>
        </w:tc>
      </w:tr>
      <w:tr>
        <w:trPr>
          <w:trHeight w:val="349"/>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By:  /s/ James M. Boyle</w:t>
            </w:r>
          </w:p>
        </w:tc>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42"/>
        </w:trPr>
        <w:tc>
          <w:tcPr>
            <w:tcW w:w="380" w:type="dxa"/>
            <w:vAlign w:val="bottom"/>
          </w:tcPr>
          <w:p>
            <w:pPr>
              <w:spacing w:after="0"/>
              <w:rPr>
                <w:sz w:val="12"/>
                <w:szCs w:val="12"/>
                <w:color w:val="auto"/>
              </w:rPr>
            </w:pPr>
          </w:p>
        </w:tc>
        <w:tc>
          <w:tcPr>
            <w:tcW w:w="302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Name: James M. Boyle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40" w:type="dxa"/>
            <w:vAlign w:val="bottom"/>
          </w:tcPr>
          <w:p>
            <w:pPr>
              <w:spacing w:after="0"/>
              <w:rPr>
                <w:sz w:val="12"/>
                <w:szCs w:val="12"/>
                <w:color w:val="auto"/>
              </w:rPr>
            </w:pPr>
          </w:p>
        </w:tc>
      </w:tr>
      <w:tr>
        <w:trPr>
          <w:trHeight w:val="181"/>
        </w:trPr>
        <w:tc>
          <w:tcPr>
            <w:tcW w:w="380" w:type="dxa"/>
            <w:vAlign w:val="bottom"/>
          </w:tcPr>
          <w:p>
            <w:pPr>
              <w:spacing w:after="0"/>
              <w:rPr>
                <w:sz w:val="15"/>
                <w:szCs w:val="15"/>
                <w:color w:val="auto"/>
              </w:rPr>
            </w:pPr>
          </w:p>
        </w:tc>
        <w:tc>
          <w:tcPr>
            <w:tcW w:w="35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Title: Attorney-in-fact</w:t>
            </w:r>
          </w:p>
        </w:tc>
        <w:tc>
          <w:tcPr>
            <w:tcW w:w="160" w:type="dxa"/>
            <w:vAlign w:val="bottom"/>
          </w:tcPr>
          <w:p>
            <w:pPr>
              <w:spacing w:after="0"/>
              <w:rPr>
                <w:sz w:val="15"/>
                <w:szCs w:val="15"/>
                <w:color w:val="auto"/>
              </w:rPr>
            </w:pPr>
          </w:p>
        </w:tc>
        <w:tc>
          <w:tcPr>
            <w:tcW w:w="4440" w:type="dxa"/>
            <w:vAlign w:val="bottom"/>
          </w:tcPr>
          <w:p>
            <w:pPr>
              <w:spacing w:after="0"/>
              <w:rPr>
                <w:sz w:val="15"/>
                <w:szCs w:val="15"/>
                <w:color w:val="auto"/>
              </w:rPr>
            </w:pPr>
          </w:p>
        </w:tc>
      </w:tr>
    </w:tbl>
    <w:p>
      <w:pPr>
        <w:sectPr>
          <w:pgSz w:w="11900" w:h="16838" w:orient="portrait"/>
          <w:cols w:equalWidth="0" w:num="1">
            <w:col w:w="9019"/>
          </w:cols>
          <w:pgMar w:left="1440" w:top="235" w:right="1440" w:bottom="1440" w:gutter="0" w:footer="0" w:header="0"/>
        </w:sectPr>
      </w:pPr>
    </w:p>
    <w:bookmarkStart w:id="5" w:name="page6"/>
    <w:bookmarkEnd w:id="5"/>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319"/>
        <w:spacing w:after="0" w:line="258"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February 28, 2025, with respect to the consolidated financial statements of Medline Holdings, LP included in Amendment No. 2 to the Registration Statement (Form S-1 No. 333-291112) and related Prospectus of Medline Inc. for the registration of shares of its Class A common stock.</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December 16, 2025</w:t>
      </w:r>
    </w:p>
    <w:p>
      <w:pPr>
        <w:sectPr>
          <w:pgSz w:w="11900" w:h="16838" w:orient="portrait"/>
          <w:cols w:equalWidth="0" w:num="1">
            <w:col w:w="9019"/>
          </w:cols>
          <w:pgMar w:left="1440" w:top="123" w:right="1440" w:bottom="1440" w:gutter="0" w:footer="0" w:header="0"/>
        </w:sectPr>
      </w:pPr>
    </w:p>
    <w:bookmarkStart w:id="6" w:name="page7"/>
    <w:bookmarkEnd w:id="6"/>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Medline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0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42,589,654</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$ 29.00</w:t>
            </w: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$ 170,567.31</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1,235,099,966.00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$ 170,567.31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1,235,099,966.00</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$ 170,567.31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68" w:lineRule="exact"/>
        <w:rPr>
          <w:sz w:val="20"/>
          <w:szCs w:val="20"/>
          <w:color w:val="auto"/>
        </w:rPr>
      </w:pPr>
    </w:p>
    <w:p>
      <w:pPr>
        <w:ind w:left="220" w:hanging="186"/>
        <w:spacing w:after="0"/>
        <w:tabs>
          <w:tab w:leader="none" w:pos="220" w:val="left"/>
        </w:tabs>
        <w:numPr>
          <w:ilvl w:val="0"/>
          <w:numId w:val="2"/>
        </w:numPr>
        <w:rPr>
          <w:rFonts w:ascii="Arial" w:cs="Arial" w:eastAsia="Arial" w:hAnsi="Arial"/>
          <w:sz w:val="21"/>
          <w:szCs w:val="21"/>
          <w:color w:val="auto"/>
          <w:vertAlign w:val="superscript"/>
        </w:rPr>
      </w:pPr>
      <w:r>
        <w:rPr>
          <w:rFonts w:ascii="Arial" w:cs="Arial" w:eastAsia="Arial" w:hAnsi="Arial"/>
          <w:sz w:val="17"/>
          <w:szCs w:val="17"/>
          <w:color w:val="auto"/>
        </w:rPr>
        <w:t>(a) Estimated solely for the purpose of calculating the registration fee in accordance with Rule 457(a) under the Securities Act of 1933, as amended.</w:t>
      </w:r>
    </w:p>
    <w:p>
      <w:pPr>
        <w:ind w:left="220" w:right="220"/>
        <w:spacing w:after="0" w:line="236" w:lineRule="auto"/>
        <w:rPr>
          <w:rFonts w:ascii="Arial" w:cs="Arial" w:eastAsia="Arial" w:hAnsi="Arial"/>
          <w:sz w:val="21"/>
          <w:szCs w:val="21"/>
          <w:color w:val="auto"/>
          <w:vertAlign w:val="superscript"/>
        </w:rPr>
      </w:pPr>
      <w:r>
        <w:rPr>
          <w:rFonts w:ascii="Arial" w:cs="Arial" w:eastAsia="Arial" w:hAnsi="Arial"/>
          <w:sz w:val="17"/>
          <w:szCs w:val="17"/>
          <w:color w:val="auto"/>
        </w:rPr>
        <w:t>(b) Includes 5,555,172 shares of our Class A common stock that are subject to the underwriters' option to purchase additional shares. (c) The shares of Class A common stock being registered hereunder are in addition to the 205,850,000 shares of Class A common stock registered pursuant to the Registrant's Registration Statement on Form S-1 (File No. 333-291112).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494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64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60" w:type="dxa"/>
            <w:vAlign w:val="bottom"/>
            <w:tcBorders>
              <w:right w:val="single" w:sz="8" w:color="9ADAF6"/>
            </w:tcBorders>
          </w:tcPr>
          <w:p>
            <w:pPr>
              <w:spacing w:after="0"/>
              <w:rPr>
                <w:sz w:val="8"/>
                <w:szCs w:val="8"/>
                <w:color w:val="auto"/>
              </w:rPr>
            </w:pPr>
          </w:p>
        </w:tc>
        <w:tc>
          <w:tcPr>
            <w:tcW w:w="6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640" w:type="dxa"/>
            <w:vAlign w:val="bottom"/>
            <w:gridSpan w:val="3"/>
            <w:shd w:val="clear" w:color="auto" w:fill="9ADAF6"/>
          </w:tcPr>
          <w:p>
            <w:pPr>
              <w:jc w:val="right"/>
              <w:ind w:right="17"/>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7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60" w:type="dxa"/>
            <w:vAlign w:val="bottom"/>
            <w:tcBorders>
              <w:right w:val="single" w:sz="8" w:color="9ADAF6"/>
            </w:tcBorders>
          </w:tcPr>
          <w:p>
            <w:pPr>
              <w:spacing w:after="0"/>
              <w:rPr>
                <w:sz w:val="16"/>
                <w:szCs w:val="16"/>
                <w:color w:val="auto"/>
              </w:rPr>
            </w:pPr>
          </w:p>
        </w:tc>
        <w:tc>
          <w:tcPr>
            <w:tcW w:w="640" w:type="dxa"/>
            <w:vAlign w:val="bottom"/>
            <w:gridSpan w:val="3"/>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19"/>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19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6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10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7"/>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0" Type="http://schemas.openxmlformats.org/officeDocument/2006/relationships/hyperlink" Target="http://www.sec.gov/Archives/edgar/data/2046386/000119312525311099/d55108dex51.htm" TargetMode="External"/><Relationship Id="rId21" Type="http://schemas.openxmlformats.org/officeDocument/2006/relationships/hyperlink" Target="http://www.sec.gov/Archives/edgar/data/2046386/000119312525253020/d932091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2025-12-16T16:28:51Z</dcterms:created>
  <dcterms:modified xsi:type="dcterms:W3CDTF">2025-12-16T16:28:51Z</dcterms:modified>
</cp:coreProperties>
</file>