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-596900</wp:posOffset>
            </wp:positionV>
            <wp:extent cx="56515" cy="61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633095</wp:posOffset>
            </wp:positionV>
            <wp:extent cx="7049770" cy="884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8843645"/>
                    </a:xfrm>
                    <a:prstGeom prst="rect">
                      <a:avLst/>
                    </a:prstGeom>
                    <a:noFill/>
                  </pic:spPr>
                </pic:pic>
              </a:graphicData>
            </a:graphic>
          </wp:anchor>
        </w:drawing>
      </w:r>
    </w:p>
    <w:p>
      <w:pPr>
        <w:spacing w:after="0" w:line="1062" w:lineRule="exact"/>
        <w:rPr>
          <w:sz w:val="24"/>
          <w:szCs w:val="24"/>
          <w:color w:val="auto"/>
        </w:rPr>
      </w:pPr>
    </w:p>
    <w:p>
      <w:pPr>
        <w:sectPr>
          <w:pgSz w:w="11900" w:h="16904" w:orient="portrait"/>
          <w:cols w:equalWidth="0" w:num="2">
            <w:col w:w="2280" w:space="440"/>
            <w:col w:w="8340"/>
          </w:cols>
          <w:pgMar w:left="460" w:top="213" w:right="37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Hellman &amp; Friedman Capital Partners X</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(Parallel), L.P.</w:t>
        </w:r>
      </w:hyperlink>
    </w:p>
    <w:p>
      <w:pPr>
        <w:spacing w:after="0" w:line="272" w:lineRule="exact"/>
        <w:rPr>
          <w:sz w:val="20"/>
          <w:szCs w:val="20"/>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00" w:right="720"/>
        <w:spacing w:after="0" w:line="352" w:lineRule="auto"/>
        <w:rPr>
          <w:sz w:val="20"/>
          <w:szCs w:val="20"/>
          <w:color w:val="auto"/>
        </w:rPr>
      </w:pPr>
      <w:r>
        <w:rPr>
          <w:rFonts w:ascii="Times New Roman" w:cs="Times New Roman" w:eastAsia="Times New Roman" w:hAnsi="Times New Roman"/>
          <w:sz w:val="16"/>
          <w:szCs w:val="16"/>
          <w:color w:val="0000FF"/>
        </w:rPr>
        <w:t>C/O HELLMAN &amp; FRIEDMAN LLC 415 MISSION STREET, SUITE 5700</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4" w:lineRule="exact"/>
        <w:rPr>
          <w:sz w:val="20"/>
          <w:szCs w:val="20"/>
          <w:color w:val="auto"/>
        </w:rPr>
      </w:pPr>
    </w:p>
    <w:p>
      <w:pPr>
        <w:ind w:left="100" w:right="340"/>
        <w:spacing w:after="0"/>
        <w:rPr>
          <w:sz w:val="20"/>
          <w:szCs w:val="20"/>
          <w:color w:val="auto"/>
        </w:rPr>
      </w:pPr>
      <w:r>
        <w:rPr>
          <w:rFonts w:ascii="Times New Roman" w:cs="Times New Roman" w:eastAsia="Times New Roman" w:hAnsi="Times New Roman"/>
          <w:sz w:val="31"/>
          <w:szCs w:val="31"/>
          <w:color w:val="0000FF"/>
          <w:vertAlign w:val="superscript"/>
        </w:rPr>
        <w:t>SAN</w:t>
      </w:r>
      <w:r>
        <w:rPr>
          <w:rFonts w:ascii="Times New Roman" w:cs="Times New Roman" w:eastAsia="Times New Roman" w:hAnsi="Times New Roman"/>
          <w:sz w:val="16"/>
          <w:szCs w:val="16"/>
          <w:color w:val="0000FF"/>
        </w:rPr>
        <w:t xml:space="preserve"> CA 94105 FRANCISCO</w:t>
      </w:r>
    </w:p>
    <w:p>
      <w:pPr>
        <w:spacing w:after="0" w:line="332" w:lineRule="exact"/>
        <w:rPr>
          <w:sz w:val="20"/>
          <w:szCs w:val="20"/>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Medline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MDLN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05/21/2026</w:t>
            </w:r>
          </w:p>
        </w:tc>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710" w:lineRule="exact"/>
        <w:rPr>
          <w:sz w:val="20"/>
          <w:szCs w:val="20"/>
          <w:color w:val="auto"/>
        </w:rPr>
      </w:pPr>
    </w:p>
    <w:p>
      <w:pPr>
        <w:sectPr>
          <w:pgSz w:w="11900" w:h="16904" w:orient="portrait"/>
          <w:cols w:equalWidth="0" w:num="2">
            <w:col w:w="3300" w:space="540"/>
            <w:col w:w="7220"/>
          </w:cols>
          <w:pgMar w:left="460" w:top="213" w:right="379" w:bottom="0" w:gutter="0" w:footer="0" w:header="0"/>
          <w:type w:val="continuous"/>
        </w:sect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6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color w:val="0000FF"/>
              </w:rPr>
              <w:t>05/21/2026</w:t>
            </w:r>
          </w:p>
        </w:tc>
        <w:tc>
          <w:tcPr>
            <w:tcW w:w="1040" w:type="dxa"/>
            <w:vAlign w:val="bottom"/>
          </w:tcPr>
          <w:p>
            <w:pPr>
              <w:spacing w:after="0"/>
              <w:rPr>
                <w:sz w:val="17"/>
                <w:szCs w:val="1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(1)(2)</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18,156,867</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187"/>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18,176,177</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color w:val="0000FF"/>
              </w:rPr>
              <w:t>05/21/2026</w:t>
            </w:r>
          </w:p>
        </w:tc>
        <w:tc>
          <w:tcPr>
            <w:tcW w:w="104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(2)(5)</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18,156,867</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right"/>
              <w:ind w:right="187"/>
              <w:spacing w:after="0"/>
              <w:rPr>
                <w:sz w:val="20"/>
                <w:szCs w:val="20"/>
                <w:color w:val="auto"/>
              </w:rPr>
            </w:pPr>
            <w:r>
              <w:rPr>
                <w:rFonts w:ascii="Times New Roman" w:cs="Times New Roman" w:eastAsia="Times New Roman" w:hAnsi="Times New Roman"/>
                <w:sz w:val="10"/>
                <w:szCs w:val="10"/>
                <w:color w:val="008000"/>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82,453,349</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Hellman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&amp;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74,496,172</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Friedman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(Parallel),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HFCP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7,781,788</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X (Parallel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vMerge w:val="restart"/>
          </w:tcPr>
          <w:p>
            <w:pPr>
              <w:ind w:left="100"/>
              <w:spacing w:after="0" w:line="194" w:lineRule="exact"/>
              <w:rPr>
                <w:sz w:val="20"/>
                <w:szCs w:val="20"/>
                <w:color w:val="auto"/>
              </w:rPr>
            </w:pPr>
            <w:r>
              <w:rPr>
                <w:rFonts w:ascii="Times New Roman" w:cs="Times New Roman" w:eastAsia="Times New Roman" w:hAnsi="Times New Roman"/>
                <w:sz w:val="16"/>
                <w:szCs w:val="16"/>
                <w:color w:val="0000FF"/>
                <w:w w:val="96"/>
              </w:rPr>
              <w:t>- A), L.P.</w:t>
            </w:r>
            <w:r>
              <w:rPr>
                <w:rFonts w:ascii="Times New Roman" w:cs="Times New Roman" w:eastAsia="Times New Roman" w:hAnsi="Times New Roman"/>
                <w:sz w:val="20"/>
                <w:szCs w:val="20"/>
                <w:color w:val="008000"/>
                <w:w w:val="96"/>
                <w:vertAlign w:val="superscript"/>
              </w:rPr>
              <w:t>(3)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4,176,227</w:t>
            </w:r>
          </w:p>
        </w:tc>
        <w:tc>
          <w:tcPr>
            <w:tcW w:w="9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w:t>
            </w: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6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40" w:type="dxa"/>
            <w:vAlign w:val="bottom"/>
            <w:vMerge w:val="restart"/>
          </w:tcPr>
          <w:p>
            <w:pPr>
              <w:jc w:val="center"/>
              <w:ind w:right="799"/>
              <w:spacing w:after="0"/>
              <w:rPr>
                <w:sz w:val="20"/>
                <w:szCs w:val="20"/>
                <w:color w:val="auto"/>
              </w:rPr>
            </w:pPr>
            <w:r>
              <w:rPr>
                <w:rFonts w:ascii="Times New Roman" w:cs="Times New Roman" w:eastAsia="Times New Roman" w:hAnsi="Times New Roman"/>
                <w:sz w:val="12"/>
                <w:szCs w:val="12"/>
                <w:color w:val="0000FF"/>
              </w:rPr>
              <w:t>Class A</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By Mend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vMerge w:val="restart"/>
          </w:tcPr>
          <w:p>
            <w:pPr>
              <w:ind w:left="180"/>
              <w:spacing w:after="0" w:line="136"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right"/>
              <w:ind w:right="229"/>
              <w:spacing w:after="0"/>
              <w:rPr>
                <w:sz w:val="20"/>
                <w:szCs w:val="20"/>
                <w:color w:val="auto"/>
              </w:rPr>
            </w:pPr>
            <w:r>
              <w:rPr>
                <w:rFonts w:ascii="Times New Roman" w:cs="Times New Roman" w:eastAsia="Times New Roman" w:hAnsi="Times New Roman"/>
                <w:sz w:val="10"/>
                <w:szCs w:val="10"/>
                <w:color w:val="008000"/>
              </w:rPr>
              <w:t>(1)</w:t>
            </w:r>
          </w:p>
        </w:tc>
        <w:tc>
          <w:tcPr>
            <w:tcW w:w="1500" w:type="dxa"/>
            <w:vAlign w:val="bottom"/>
            <w:vMerge w:val="restart"/>
          </w:tcPr>
          <w:p>
            <w:pPr>
              <w:jc w:val="right"/>
              <w:ind w:right="619"/>
              <w:spacing w:after="0"/>
              <w:rPr>
                <w:sz w:val="20"/>
                <w:szCs w:val="20"/>
                <w:color w:val="auto"/>
              </w:rPr>
            </w:pPr>
            <w:r>
              <w:rPr>
                <w:rFonts w:ascii="Times New Roman" w:cs="Times New Roman" w:eastAsia="Times New Roman" w:hAnsi="Times New Roman"/>
                <w:sz w:val="12"/>
                <w:szCs w:val="12"/>
                <w:color w:val="0000FF"/>
              </w:rPr>
              <w:t>05/21/2026</w:t>
            </w:r>
          </w:p>
        </w:tc>
        <w:tc>
          <w:tcPr>
            <w:tcW w:w="1500" w:type="dxa"/>
            <w:vAlign w:val="bottom"/>
            <w:vMerge w:val="restart"/>
          </w:tcPr>
          <w:p>
            <w:pPr>
              <w:ind w:left="660"/>
              <w:spacing w:after="0" w:line="148" w:lineRule="exact"/>
              <w:rPr>
                <w:sz w:val="20"/>
                <w:szCs w:val="20"/>
                <w:color w:val="auto"/>
              </w:rPr>
            </w:pPr>
            <w:r>
              <w:rPr>
                <w:rFonts w:ascii="Times New Roman" w:cs="Times New Roman" w:eastAsia="Times New Roman" w:hAnsi="Times New Roman"/>
                <w:sz w:val="17"/>
                <w:szCs w:val="17"/>
                <w:color w:val="0000FF"/>
                <w:vertAlign w:val="subscript"/>
              </w:rPr>
              <w:t>C</w:t>
            </w:r>
            <w:r>
              <w:rPr>
                <w:rFonts w:ascii="Times New Roman" w:cs="Times New Roman" w:eastAsia="Times New Roman" w:hAnsi="Times New Roman"/>
                <w:sz w:val="8"/>
                <w:szCs w:val="8"/>
                <w:color w:val="008000"/>
              </w:rPr>
              <w:t>(1)(2)</w:t>
            </w: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2"/>
                <w:szCs w:val="12"/>
                <w:color w:val="0000FF"/>
              </w:rPr>
              <w:t>18,156,867</w:t>
            </w:r>
          </w:p>
        </w:tc>
        <w:tc>
          <w:tcPr>
            <w:tcW w:w="600" w:type="dxa"/>
            <w:vAlign w:val="bottom"/>
            <w:vMerge w:val="restart"/>
          </w:tcPr>
          <w:p>
            <w:pPr>
              <w:jc w:val="right"/>
              <w:ind w:right="229"/>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0"/>
                <w:szCs w:val="10"/>
                <w:color w:val="008000"/>
              </w:rPr>
              <w:t>(1)</w:t>
            </w:r>
          </w:p>
        </w:tc>
        <w:tc>
          <w:tcPr>
            <w:tcW w:w="1640" w:type="dxa"/>
            <w:vAlign w:val="bottom"/>
            <w:vMerge w:val="restart"/>
          </w:tcPr>
          <w:p>
            <w:pPr>
              <w:ind w:left="160"/>
              <w:spacing w:after="0" w:line="148" w:lineRule="exact"/>
              <w:rPr>
                <w:sz w:val="20"/>
                <w:szCs w:val="20"/>
                <w:color w:val="auto"/>
              </w:rPr>
            </w:pPr>
            <w:r>
              <w:rPr>
                <w:rFonts w:ascii="Times New Roman" w:cs="Times New Roman" w:eastAsia="Times New Roman" w:hAnsi="Times New Roman"/>
                <w:sz w:val="12"/>
                <w:szCs w:val="12"/>
                <w:color w:val="0000FF"/>
              </w:rPr>
              <w:t xml:space="preserve">Common  </w:t>
            </w:r>
            <w:r>
              <w:rPr>
                <w:rFonts w:ascii="Times New Roman" w:cs="Times New Roman" w:eastAsia="Times New Roman" w:hAnsi="Times New Roman"/>
                <w:sz w:val="15"/>
                <w:szCs w:val="15"/>
                <w:color w:val="0000FF"/>
              </w:rPr>
              <w:t>18,156,867</w:t>
            </w:r>
          </w:p>
        </w:tc>
        <w:tc>
          <w:tcPr>
            <w:tcW w:w="500" w:type="dxa"/>
            <w:vAlign w:val="bottom"/>
            <w:vMerge w:val="restart"/>
          </w:tcPr>
          <w:p>
            <w:pPr>
              <w:jc w:val="right"/>
              <w:ind w:right="149"/>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79"/>
              <w:spacing w:after="0"/>
              <w:rPr>
                <w:sz w:val="20"/>
                <w:szCs w:val="20"/>
                <w:color w:val="auto"/>
              </w:rPr>
            </w:pPr>
            <w:r>
              <w:rPr>
                <w:rFonts w:ascii="Times New Roman" w:cs="Times New Roman" w:eastAsia="Times New Roman" w:hAnsi="Times New Roman"/>
                <w:sz w:val="12"/>
                <w:szCs w:val="12"/>
                <w:color w:val="0000FF"/>
              </w:rPr>
              <w:t>82,453,349</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Units</w:t>
            </w:r>
          </w:p>
        </w:tc>
        <w:tc>
          <w:tcPr>
            <w:tcW w:w="6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20" w:type="dxa"/>
            <w:vAlign w:val="bottom"/>
            <w:vMerge w:val="restart"/>
          </w:tcPr>
          <w:p>
            <w:pPr>
              <w:ind w:left="180"/>
              <w:spacing w:after="0" w:line="136" w:lineRule="exact"/>
              <w:rPr>
                <w:sz w:val="20"/>
                <w:szCs w:val="20"/>
                <w:color w:val="auto"/>
              </w:rPr>
            </w:pPr>
            <w:r>
              <w:rPr>
                <w:rFonts w:ascii="Times New Roman" w:cs="Times New Roman" w:eastAsia="Times New Roman" w:hAnsi="Times New Roman"/>
                <w:sz w:val="12"/>
                <w:szCs w:val="12"/>
                <w:color w:val="0000FF"/>
              </w:rPr>
              <w:t>Holdings I,</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vMerge w:val="restart"/>
          </w:tcPr>
          <w:p>
            <w:pPr>
              <w:jc w:val="center"/>
              <w:ind w:right="779"/>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vMerge w:val="restart"/>
          </w:tcPr>
          <w:p>
            <w:pPr>
              <w:ind w:left="180"/>
              <w:spacing w:after="0" w:line="221"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0"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Hellman &amp; Friedman Capital Partners X (Parallel),</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L.P.</w:t>
        </w:r>
      </w:hyperlink>
    </w:p>
    <w:p>
      <w:pPr>
        <w:sectPr>
          <w:pgSz w:w="11900" w:h="16904" w:orient="portrait"/>
          <w:cols w:equalWidth="0" w:num="1">
            <w:col w:w="11060"/>
          </w:cols>
          <w:pgMar w:left="460" w:top="213" w:right="379" w:bottom="0" w:gutter="0" w:footer="0" w:header="0"/>
          <w:type w:val="continuous"/>
        </w:sectPr>
      </w:pPr>
    </w:p>
    <w:p>
      <w:pPr>
        <w:spacing w:after="0" w:line="277"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904" w:orient="portrait"/>
          <w:cols w:equalWidth="0" w:num="1">
            <w:col w:w="11060"/>
          </w:cols>
          <w:pgMar w:left="460" w:top="213" w:right="37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278130</wp:posOffset>
            </wp:positionH>
            <wp:positionV relativeFrom="page">
              <wp:posOffset>88900</wp:posOffset>
            </wp:positionV>
            <wp:extent cx="2810510" cy="1052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0510" cy="10523855"/>
                    </a:xfrm>
                    <a:prstGeom prst="rect">
                      <a:avLst/>
                    </a:prstGeom>
                    <a:noFill/>
                  </pic:spPr>
                </pic:pic>
              </a:graphicData>
            </a:graphic>
          </wp:anchor>
        </w:drawing>
        <w:t>C/O HELLMAN &amp; FRIEDMAN LLC</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415 MISSION STREET, SUITE 5700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740" w:type="dxa"/>
            <w:vAlign w:val="bottom"/>
            <w:gridSpan w:val="5"/>
          </w:tcPr>
          <w:p>
            <w:pPr>
              <w:spacing w:after="0" w:line="209"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HFCP X (Parallel-A),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740" w:type="dxa"/>
            <w:vAlign w:val="bottom"/>
            <w:gridSpan w:val="5"/>
          </w:tcPr>
          <w:p>
            <w:pPr>
              <w:spacing w:after="0" w:line="209"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Mend Partners II,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8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740" w:type="dxa"/>
            <w:vAlign w:val="bottom"/>
            <w:gridSpan w:val="5"/>
          </w:tcPr>
          <w:p>
            <w:pPr>
              <w:spacing w:after="0" w:line="209" w:lineRule="exact"/>
              <w:rPr>
                <w:rFonts w:ascii="Times New Roman" w:cs="Times New Roman" w:eastAsia="Times New Roman" w:hAnsi="Times New Roman"/>
                <w:sz w:val="20"/>
                <w:szCs w:val="20"/>
                <w:color w:val="0000EE"/>
                <w:w w:val="99"/>
              </w:rPr>
            </w:pPr>
            <w:hyperlink r:id="rId18">
              <w:r>
                <w:rPr>
                  <w:rFonts w:ascii="Times New Roman" w:cs="Times New Roman" w:eastAsia="Times New Roman" w:hAnsi="Times New Roman"/>
                  <w:sz w:val="20"/>
                  <w:szCs w:val="20"/>
                  <w:color w:val="0000EE"/>
                  <w:w w:val="99"/>
                </w:rPr>
                <w:t>Mend Investment Holdings I,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Hellman &amp; Friedman Investors X, L.P.</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gridSpan w:val="2"/>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7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640" w:type="dxa"/>
            <w:vAlign w:val="bottom"/>
            <w:gridSpan w:val="3"/>
          </w:tcPr>
          <w:p>
            <w:pPr>
              <w:spacing w:after="0" w:line="209"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Mend Partners GP, LLC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Mend Investment Holdings GP, LLC</w:t>
        </w:r>
      </w:hyperlink>
    </w:p>
    <w:p>
      <w:pPr>
        <w:spacing w:after="0" w:line="277" w:lineRule="exact"/>
        <w:rPr>
          <w:sz w:val="20"/>
          <w:szCs w:val="20"/>
          <w:color w:val="auto"/>
        </w:rPr>
      </w:pPr>
    </w:p>
    <w:p>
      <w:pPr>
        <w:ind w:left="8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HELLMAN &amp; FRIEDMAN LLC</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415 MISSION STREET, SUITE 5700</w:t>
      </w:r>
    </w:p>
    <w:p>
      <w:pPr>
        <w:sectPr>
          <w:pgSz w:w="11900" w:h="16838" w:orient="portrait"/>
          <w:cols w:equalWidth="0" w:num="1">
            <w:col w:w="9979"/>
          </w:cols>
          <w:pgMar w:left="480" w:top="200" w:right="1440" w:bottom="0" w:gutter="0" w:footer="0" w:header="0"/>
        </w:sect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9979"/>
          </w:cols>
          <w:pgMar w:left="480" w:top="200" w:right="1440" w:bottom="0" w:gutter="0" w:footer="0" w:header="0"/>
          <w:type w:val="continuous"/>
        </w:sectPr>
      </w:pPr>
    </w:p>
    <w:bookmarkStart w:id="2" w:name="page3"/>
    <w:bookmarkEnd w:id="2"/>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94105</w:t>
            </w:r>
          </w:p>
        </w:tc>
      </w:tr>
      <w:tr>
        <w:trPr>
          <w:trHeight w:val="141"/>
        </w:trPr>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960" w:type="dxa"/>
            <w:vAlign w:val="bottom"/>
          </w:tcPr>
          <w:p>
            <w:pPr>
              <w:ind w:left="6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-405765</wp:posOffset>
            </wp:positionV>
            <wp:extent cx="2810510" cy="3773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10510" cy="3773170"/>
                    </a:xfrm>
                    <a:prstGeom prst="rect">
                      <a:avLst/>
                    </a:prstGeom>
                    <a:noFill/>
                  </pic:spPr>
                </pic:pic>
              </a:graphicData>
            </a:graphic>
          </wp:anchor>
        </w:drawing>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Hellman &amp; Friedman Capital Partners X, L.P.</w:t>
        </w:r>
      </w:hyperlink>
    </w:p>
    <w:p>
      <w:pPr>
        <w:spacing w:after="0" w:line="277" w:lineRule="exact"/>
        <w:rPr>
          <w:sz w:val="20"/>
          <w:szCs w:val="20"/>
          <w:color w:val="auto"/>
        </w:rPr>
      </w:pPr>
    </w:p>
    <w:p>
      <w:pPr>
        <w:ind w:left="8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HELLMAN &amp; FRIEDMAN LLC</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415 MISSION STREET, SUITE 5700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8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720" w:type="dxa"/>
            <w:vAlign w:val="bottom"/>
            <w:gridSpan w:val="3"/>
          </w:tcPr>
          <w:p>
            <w:pPr>
              <w:spacing w:after="0" w:line="209"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H&amp;F Corporate Investors X, Ltd.</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120" w:hanging="5"/>
        <w:spacing w:after="0" w:line="258"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 common units of Medline Holdings, LP ("Common Units") for shares of Class A common stock ("Class A Common Stock") of Medline Inc. (the "Issuer"), on a one-for-one basis, subject to customary conversion rate adjustments for stock splits, stock dividends and reclassifications. These exchange rights do not expire</w:t>
      </w:r>
    </w:p>
    <w:p>
      <w:pPr>
        <w:spacing w:after="0" w:line="157" w:lineRule="exact"/>
        <w:rPr>
          <w:rFonts w:ascii="Times New Roman" w:cs="Times New Roman" w:eastAsia="Times New Roman" w:hAnsi="Times New Roman"/>
          <w:sz w:val="12"/>
          <w:szCs w:val="12"/>
          <w:color w:val="008000"/>
        </w:rPr>
      </w:pPr>
    </w:p>
    <w:p>
      <w:pPr>
        <w:ind w:left="20" w:right="26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21, 2026, Mend Investment Holdings I, L.P. exchanged 18,156,867 Common Units for an equal number of shares of Class A Common Stock and the Issuer automatically cancelled an equivalent number of shares of the Class B common stock ("Class B Common Stock") of the Issuer held by Mend Investment Holdings I, L.P.</w:t>
      </w:r>
    </w:p>
    <w:p>
      <w:pPr>
        <w:spacing w:after="0" w:line="6" w:lineRule="exact"/>
        <w:rPr>
          <w:rFonts w:ascii="Times New Roman" w:cs="Times New Roman" w:eastAsia="Times New Roman" w:hAnsi="Times New Roman"/>
          <w:sz w:val="12"/>
          <w:szCs w:val="12"/>
          <w:color w:val="008000"/>
        </w:rPr>
      </w:pPr>
    </w:p>
    <w:p>
      <w:pPr>
        <w:ind w:left="20" w:right="80" w:hanging="5"/>
        <w:spacing w:after="0" w:line="247"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("HFCP X") is the managing member of Mend Investment GP. Investors X GP is the general partner of HFCP X. H&amp;F Corporate Investors X, Ltd. ("Investors X Ltd.") is the general partner of Investors X GP.</w:t>
      </w:r>
    </w:p>
    <w:p>
      <w:pPr>
        <w:spacing w:after="0" w:line="21" w:lineRule="exact"/>
        <w:rPr>
          <w:rFonts w:ascii="Times New Roman" w:cs="Times New Roman" w:eastAsia="Times New Roman" w:hAnsi="Times New Roman"/>
          <w:sz w:val="12"/>
          <w:szCs w:val="12"/>
          <w:color w:val="008000"/>
        </w:rPr>
      </w:pPr>
    </w:p>
    <w:p>
      <w:pPr>
        <w:ind w:left="20" w:right="26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 three-member board of directors of Investors X Ltd. has voting and investment discretion over the securities held by Hellman &amp; Friedman Capital Partners X (Parallel), L.P., HFCP X (Parallel - A), Mend Partners II, L.P., and Mend Investment Holdings I, L.P. Each of the members of the board of directors of Investors X Ltd. disclaims beneficial ownership of such shares.</w:t>
      </w:r>
    </w:p>
    <w:p>
      <w:pPr>
        <w:spacing w:after="0" w:line="6" w:lineRule="exact"/>
        <w:rPr>
          <w:rFonts w:ascii="Times New Roman" w:cs="Times New Roman" w:eastAsia="Times New Roman" w:hAnsi="Times New Roman"/>
          <w:sz w:val="12"/>
          <w:szCs w:val="12"/>
          <w:color w:val="008000"/>
        </w:rPr>
      </w:pPr>
    </w:p>
    <w:p>
      <w:pPr>
        <w:ind w:left="2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Class B Common Stock have no economic value and have one vote per share. One share of Class B Common Stock is issued for each Common Unit held. Upon an exchange of Common Units for shares of the Class A common stock, an equivalent number of shares of Class B Common Stock held by such holder will be automatically cancelled.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for purposes of Section 16 of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ectPr>
          <w:pgSz w:w="11900" w:h="16888" w:orient="portrait"/>
          <w:cols w:equalWidth="0" w:num="1">
            <w:col w:w="10900"/>
          </w:cols>
          <w:pgMar w:left="480" w:top="127" w:right="519" w:bottom="0" w:gutter="0" w:footer="0" w:header="0"/>
        </w:sectPr>
      </w:pP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77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Capital Partners X (Parallel),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01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77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of HFCP X (Parallel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01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57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5748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788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 of Mend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306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118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118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Mend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8959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895985"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VP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566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92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322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322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182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Hellman &amp; Friedman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Partners X, L.P., the MM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296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Mend Investment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788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GP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8928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89281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Investment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156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6788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ectPr>
          <w:pgSz w:w="11900" w:h="16888" w:orient="portrait"/>
          <w:cols w:equalWidth="0" w:num="2">
            <w:col w:w="8720" w:space="60"/>
            <w:col w:w="2120"/>
          </w:cols>
          <w:pgMar w:left="480" w:top="127" w:right="519" w:bottom="0" w:gutter="0" w:footer="0" w:header="0"/>
          <w:type w:val="continuous"/>
        </w:sectPr>
      </w:pPr>
    </w:p>
    <w:bookmarkStart w:id="3" w:name="page4"/>
    <w:bookmarkEnd w:id="3"/>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1855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788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 of Mend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306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917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91770"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3627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jc w:val="right"/>
        <w:ind w:right="479"/>
        <w:spacing w:after="0"/>
        <w:tabs>
          <w:tab w:leader="none" w:pos="700" w:val="left"/>
        </w:tabs>
        <w:rPr>
          <w:sz w:val="20"/>
          <w:szCs w:val="20"/>
          <w:color w:val="auto"/>
        </w:rPr>
      </w:pPr>
      <w:r>
        <w:rPr>
          <w:rFonts w:ascii="Times New Roman" w:cs="Times New Roman" w:eastAsia="Times New Roman" w:hAnsi="Times New Roman"/>
          <w:sz w:val="16"/>
          <w:szCs w:val="16"/>
          <w:color w:val="0000FF"/>
        </w:rPr>
        <w:t>Investors X, L.P., the G.P. of</w:t>
      </w:r>
      <w:r>
        <w:rPr>
          <w:sz w:val="20"/>
          <w:szCs w:val="20"/>
          <w:color w:val="auto"/>
        </w:rPr>
        <w:tab/>
      </w: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85864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Hellman &amp; Friedman X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46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Partners,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404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 of Mend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798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Holding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7042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0421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3627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tabs>
          <w:tab w:leader="none" w:pos="8744" w:val="left"/>
        </w:tabs>
        <w:rPr>
          <w:sz w:val="20"/>
          <w:szCs w:val="20"/>
          <w:color w:val="auto"/>
        </w:rPr>
      </w:pPr>
      <w:r>
        <w:rPr>
          <w:rFonts w:ascii="Times New Roman" w:cs="Times New Roman" w:eastAsia="Times New Roman" w:hAnsi="Times New Roman"/>
          <w:sz w:val="16"/>
          <w:szCs w:val="16"/>
          <w:color w:val="0000FF"/>
        </w:rPr>
        <w:t>partner of Hellman &amp; Friedman</w:t>
      </w:r>
      <w:r>
        <w:rPr>
          <w:sz w:val="20"/>
          <w:szCs w:val="20"/>
          <w:color w:val="auto"/>
        </w:rPr>
        <w:tab/>
      </w: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85864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7729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Capital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9575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957580"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 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85864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6870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87070" cy="7620"/>
                    </a:xfrm>
                    <a:prstGeom prst="rect">
                      <a:avLst/>
                    </a:prstGeom>
                    <a:noFill/>
                  </pic:spPr>
                </pic:pic>
              </a:graphicData>
            </a:graphic>
          </wp:anchor>
        </w:drawing>
      </w:r>
    </w:p>
    <w:p>
      <w:pPr>
        <w:spacing w:after="0" w:line="30"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2879" w:hanging="5"/>
        <w:spacing w:after="0" w:line="320"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13" Type="http://schemas.openxmlformats.org/officeDocument/2006/relationships/hyperlink" Target="http://www.sec.gov/cgi-bin/browse-edgar?action=getcompany&amp;CIK=0001841430"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1841189" TargetMode="External"/><Relationship Id="rId17" Type="http://schemas.openxmlformats.org/officeDocument/2006/relationships/hyperlink" Target="http://www.sec.gov/cgi-bin/browse-edgar?action=getcompany&amp;CIK=0001877047" TargetMode="External"/><Relationship Id="rId18" Type="http://schemas.openxmlformats.org/officeDocument/2006/relationships/hyperlink" Target="http://www.sec.gov/cgi-bin/browse-edgar?action=getcompany&amp;CIK=0002074968" TargetMode="External"/><Relationship Id="rId19" Type="http://schemas.openxmlformats.org/officeDocument/2006/relationships/hyperlink" Target="http://www.sec.gov/cgi-bin/browse-edgar?action=getcompany&amp;CIK=0001868392" TargetMode="External"/><Relationship Id="rId20" Type="http://schemas.openxmlformats.org/officeDocument/2006/relationships/hyperlink" Target="http://www.sec.gov/cgi-bin/browse-edgar?action=getcompany&amp;CIK=0002074972" TargetMode="External"/><Relationship Id="rId21" Type="http://schemas.openxmlformats.org/officeDocument/2006/relationships/hyperlink" Target="http://www.sec.gov/cgi-bin/browse-edgar?action=getcompany&amp;CIK=0002074980" TargetMode="External"/><Relationship Id="rId23" Type="http://schemas.openxmlformats.org/officeDocument/2006/relationships/hyperlink" Target="http://www.sec.gov/cgi-bin/browse-edgar?action=getcompany&amp;CIK=0001841434" TargetMode="External"/><Relationship Id="rId24" Type="http://schemas.openxmlformats.org/officeDocument/2006/relationships/hyperlink" Target="http://www.sec.gov/cgi-bin/browse-edgar?action=getcompany&amp;CIK=0001901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2026-05-26T15:24:15Z</dcterms:created>
  <dcterms:modified xsi:type="dcterms:W3CDTF">2026-05-26T15:24:15Z</dcterms:modified>
</cp:coreProperties>
</file>