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20" w:type="dxa"/>
            <w:vAlign w:val="bottom"/>
            <w:gridSpan w:val="3"/>
          </w:tcPr>
          <w:p>
            <w:pPr>
              <w:jc w:val="center"/>
              <w:ind w:right="2142"/>
              <w:spacing w:after="0"/>
              <w:rPr>
                <w:sz w:val="20"/>
                <w:szCs w:val="20"/>
                <w:color w:val="auto"/>
              </w:rPr>
            </w:pPr>
            <w:r>
              <w:rPr>
                <w:rFonts w:ascii="Times New Roman" w:cs="Times New Roman" w:eastAsia="Times New Roman" w:hAnsi="Times New Roman"/>
                <w:sz w:val="18"/>
                <w:szCs w:val="18"/>
                <w:b w:val="1"/>
                <w:bCs w:val="1"/>
                <w:color w:val="auto"/>
              </w:rPr>
              <w:t xml:space="preserve">Simpson Thacher &amp; Bartlett </w:t>
            </w:r>
            <w:r>
              <w:rPr>
                <w:rFonts w:ascii="Times New Roman" w:cs="Times New Roman" w:eastAsia="Times New Roman" w:hAnsi="Times New Roman"/>
                <w:sz w:val="14"/>
                <w:szCs w:val="14"/>
                <w:b w:val="1"/>
                <w:bCs w:val="1"/>
                <w:color w:val="auto"/>
              </w:rPr>
              <w:t>LLP</w:t>
            </w:r>
          </w:p>
        </w:tc>
      </w:tr>
      <w:tr>
        <w:trPr>
          <w:trHeight w:val="234"/>
        </w:trPr>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680" w:type="dxa"/>
            <w:vAlign w:val="bottom"/>
            <w:gridSpan w:val="2"/>
          </w:tcPr>
          <w:p>
            <w:pPr>
              <w:jc w:val="center"/>
              <w:ind w:right="4282"/>
              <w:spacing w:after="0"/>
              <w:rPr>
                <w:sz w:val="20"/>
                <w:szCs w:val="20"/>
                <w:color w:val="auto"/>
              </w:rPr>
            </w:pPr>
            <w:r>
              <w:rPr>
                <w:rFonts w:ascii="Times New Roman" w:cs="Times New Roman" w:eastAsia="Times New Roman" w:hAnsi="Times New Roman"/>
                <w:sz w:val="14"/>
                <w:szCs w:val="14"/>
                <w:color w:val="auto"/>
              </w:rPr>
              <w:t xml:space="preserve">900 </w:t>
            </w:r>
            <w:r>
              <w:rPr>
                <w:rFonts w:ascii="Times New Roman" w:cs="Times New Roman" w:eastAsia="Times New Roman" w:hAnsi="Times New Roman"/>
                <w:sz w:val="11"/>
                <w:szCs w:val="11"/>
                <w:color w:val="auto"/>
              </w:rPr>
              <w:t>G STREET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1"/>
                <w:szCs w:val="11"/>
                <w:color w:val="auto"/>
              </w:rPr>
              <w:t>NW</w:t>
            </w:r>
          </w:p>
        </w:tc>
      </w:tr>
      <w:tr>
        <w:trPr>
          <w:trHeight w:val="188"/>
        </w:trPr>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680" w:type="dxa"/>
            <w:vAlign w:val="bottom"/>
            <w:gridSpan w:val="2"/>
          </w:tcPr>
          <w:p>
            <w:pPr>
              <w:jc w:val="center"/>
              <w:ind w:right="4262"/>
              <w:spacing w:after="0"/>
              <w:rPr>
                <w:sz w:val="20"/>
                <w:szCs w:val="20"/>
                <w:color w:val="auto"/>
              </w:rPr>
            </w:pPr>
            <w:r>
              <w:rPr>
                <w:rFonts w:ascii="Times New Roman" w:cs="Times New Roman" w:eastAsia="Times New Roman" w:hAnsi="Times New Roman"/>
                <w:sz w:val="12"/>
                <w:szCs w:val="12"/>
                <w:color w:val="auto"/>
                <w:w w:val="99"/>
              </w:rPr>
              <w:t>WASHINGTON</w:t>
            </w: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2"/>
                <w:szCs w:val="12"/>
                <w:color w:val="auto"/>
                <w:w w:val="99"/>
              </w:rPr>
              <w:t xml:space="preserve"> D</w:t>
            </w: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2"/>
                <w:szCs w:val="12"/>
                <w:color w:val="auto"/>
                <w:w w:val="99"/>
              </w:rPr>
              <w:t>C</w:t>
            </w:r>
            <w:r>
              <w:rPr>
                <w:rFonts w:ascii="Times New Roman" w:cs="Times New Roman" w:eastAsia="Times New Roman" w:hAnsi="Times New Roman"/>
                <w:sz w:val="14"/>
                <w:szCs w:val="14"/>
                <w:color w:val="auto"/>
                <w:w w:val="99"/>
              </w:rPr>
              <w:t>. 20001</w:t>
            </w:r>
          </w:p>
        </w:tc>
      </w:tr>
      <w:tr>
        <w:trPr>
          <w:trHeight w:val="213"/>
        </w:trPr>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4360" w:type="dxa"/>
            <w:vAlign w:val="bottom"/>
          </w:tcPr>
          <w:p>
            <w:pPr>
              <w:spacing w:after="0"/>
              <w:rPr>
                <w:sz w:val="18"/>
                <w:szCs w:val="18"/>
                <w:color w:val="auto"/>
              </w:rPr>
            </w:pPr>
          </w:p>
        </w:tc>
      </w:tr>
      <w:tr>
        <w:trPr>
          <w:trHeight w:val="227"/>
        </w:trPr>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680" w:type="dxa"/>
            <w:vAlign w:val="bottom"/>
            <w:gridSpan w:val="2"/>
          </w:tcPr>
          <w:p>
            <w:pPr>
              <w:jc w:val="center"/>
              <w:ind w:right="4262"/>
              <w:spacing w:after="0"/>
              <w:rPr>
                <w:sz w:val="20"/>
                <w:szCs w:val="20"/>
                <w:color w:val="auto"/>
              </w:rPr>
            </w:pPr>
            <w:r>
              <w:rPr>
                <w:rFonts w:ascii="Times New Roman" w:cs="Times New Roman" w:eastAsia="Times New Roman" w:hAnsi="Times New Roman"/>
                <w:sz w:val="12"/>
                <w:szCs w:val="12"/>
                <w:color w:val="auto"/>
              </w:rPr>
              <w:t>TELEPHONE</w:t>
            </w:r>
            <w:r>
              <w:rPr>
                <w:rFonts w:ascii="Times New Roman" w:cs="Times New Roman" w:eastAsia="Times New Roman" w:hAnsi="Times New Roman"/>
                <w:sz w:val="14"/>
                <w:szCs w:val="14"/>
                <w:color w:val="auto"/>
              </w:rPr>
              <w:t>: +1-202-636-5500</w:t>
            </w:r>
          </w:p>
        </w:tc>
      </w:tr>
      <w:tr>
        <w:trPr>
          <w:trHeight w:val="188"/>
        </w:trPr>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6680" w:type="dxa"/>
            <w:vAlign w:val="bottom"/>
            <w:gridSpan w:val="2"/>
          </w:tcPr>
          <w:p>
            <w:pPr>
              <w:jc w:val="center"/>
              <w:ind w:right="4282"/>
              <w:spacing w:after="0"/>
              <w:rPr>
                <w:sz w:val="20"/>
                <w:szCs w:val="20"/>
                <w:color w:val="auto"/>
              </w:rPr>
            </w:pPr>
            <w:r>
              <w:rPr>
                <w:rFonts w:ascii="Times New Roman" w:cs="Times New Roman" w:eastAsia="Times New Roman" w:hAnsi="Times New Roman"/>
                <w:sz w:val="12"/>
                <w:szCs w:val="12"/>
                <w:color w:val="auto"/>
              </w:rPr>
              <w:t>FACSIMILE</w:t>
            </w:r>
            <w:r>
              <w:rPr>
                <w:rFonts w:ascii="Times New Roman" w:cs="Times New Roman" w:eastAsia="Times New Roman" w:hAnsi="Times New Roman"/>
                <w:sz w:val="14"/>
                <w:szCs w:val="14"/>
                <w:color w:val="auto"/>
              </w:rPr>
              <w:t>: +1-202-636-5502</w:t>
            </w:r>
          </w:p>
        </w:tc>
      </w:tr>
      <w:tr>
        <w:trPr>
          <w:trHeight w:val="352"/>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Dial Number</w:t>
            </w:r>
          </w:p>
        </w:tc>
        <w:tc>
          <w:tcPr>
            <w:tcW w:w="2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E-mail Address</w:t>
            </w:r>
          </w:p>
        </w:tc>
      </w:tr>
      <w:tr>
        <w:trPr>
          <w:trHeight w:val="188"/>
        </w:trPr>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+1-202-636-5804</w:t>
            </w:r>
          </w:p>
        </w:tc>
        <w:tc>
          <w:tcPr>
            <w:tcW w:w="21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jbonnie@stblaw.com</w:t>
            </w:r>
          </w:p>
        </w:tc>
      </w:tr>
      <w:tr>
        <w:trPr>
          <w:trHeight w:val="415"/>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 EDGAR</w:t>
            </w:r>
          </w:p>
        </w:tc>
        <w:tc>
          <w:tcPr>
            <w:tcW w:w="2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 2026</w:t>
            </w:r>
          </w:p>
        </w:tc>
      </w:tr>
      <w:tr>
        <w:trPr>
          <w:trHeight w:val="461"/>
        </w:trPr>
        <w:tc>
          <w:tcPr>
            <w:tcW w:w="980" w:type="dxa"/>
            <w:vAlign w:val="bottom"/>
            <w:tcBorders>
              <w:top w:val="single" w:sz="8" w:color="auto"/>
            </w:tcBorders>
          </w:tcPr>
          <w:p>
            <w:pPr>
              <w:spacing w:after="0"/>
              <w:rPr>
                <w:sz w:val="24"/>
                <w:szCs w:val="24"/>
                <w:color w:val="auto"/>
              </w:rPr>
            </w:pPr>
          </w:p>
        </w:tc>
        <w:tc>
          <w:tcPr>
            <w:tcW w:w="12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w:t>
            </w:r>
          </w:p>
        </w:tc>
        <w:tc>
          <w:tcPr>
            <w:tcW w:w="8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Acceleration Request for Medline Inc.</w:t>
            </w:r>
          </w:p>
        </w:tc>
      </w:tr>
      <w:tr>
        <w:trPr>
          <w:trHeight w:val="234"/>
        </w:trPr>
        <w:tc>
          <w:tcPr>
            <w:tcW w:w="980" w:type="dxa"/>
            <w:vAlign w:val="bottom"/>
          </w:tcPr>
          <w:p>
            <w:pPr>
              <w:spacing w:after="0"/>
              <w:rPr>
                <w:sz w:val="20"/>
                <w:szCs w:val="20"/>
                <w:color w:val="auto"/>
              </w:rPr>
            </w:pPr>
          </w:p>
        </w:tc>
        <w:tc>
          <w:tcPr>
            <w:tcW w:w="12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88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Registration Statement on Form S-1</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Robert Augustin, Esq.</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we attach the requests of our client, Medline Inc., and of the underwriters that effectiveness of the above-referenced Registration Statement be accelerated to 4:05 p.m., Washington, D.C. time, on March 4, 2026, or as soon as practicable thereafter.</w:t>
      </w:r>
    </w:p>
    <w:p>
      <w:pPr>
        <w:spacing w:after="0" w:line="17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Call me at (202) 636-5804 with any questions.</w:t>
      </w:r>
    </w:p>
    <w:p>
      <w:pPr>
        <w:spacing w:after="0" w:line="225"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color w:val="auto"/>
        </w:rPr>
        <w:t>/s/ Joshua Ford Bonnie</w:t>
      </w:r>
    </w:p>
    <w:p>
      <w:pPr>
        <w:spacing w:after="0" w:line="225" w:lineRule="exact"/>
        <w:rPr>
          <w:sz w:val="24"/>
          <w:szCs w:val="24"/>
          <w:color w:val="auto"/>
        </w:rPr>
      </w:pPr>
    </w:p>
    <w:p>
      <w:pPr>
        <w:ind w:left="5960"/>
        <w:spacing w:after="0"/>
        <w:rPr>
          <w:sz w:val="20"/>
          <w:szCs w:val="20"/>
          <w:color w:val="auto"/>
        </w:rPr>
      </w:pPr>
      <w:r>
        <w:rPr>
          <w:rFonts w:ascii="Times New Roman" w:cs="Times New Roman" w:eastAsia="Times New Roman" w:hAnsi="Times New Roman"/>
          <w:sz w:val="18"/>
          <w:szCs w:val="18"/>
          <w:color w:val="auto"/>
        </w:rPr>
        <w:t>Joshua Ford Bonnie</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w:t>
      </w:r>
      <w:r>
        <w:rPr>
          <w:rFonts w:ascii="Times New Roman" w:cs="Times New Roman" w:eastAsia="Times New Roman" w:hAnsi="Times New Roman"/>
          <w:sz w:val="11"/>
          <w:szCs w:val="11"/>
          <w:color w:val="auto"/>
        </w:rPr>
        <w:t>EW</w:t>
      </w:r>
      <w:r>
        <w:rPr>
          <w:rFonts w:ascii="Times New Roman" w:cs="Times New Roman" w:eastAsia="Times New Roman" w:hAnsi="Times New Roman"/>
          <w:sz w:val="14"/>
          <w:szCs w:val="14"/>
          <w:color w:val="auto"/>
        </w:rPr>
        <w:t xml:space="preserve"> Y</w:t>
      </w:r>
      <w:r>
        <w:rPr>
          <w:rFonts w:ascii="Times New Roman" w:cs="Times New Roman" w:eastAsia="Times New Roman" w:hAnsi="Times New Roman"/>
          <w:sz w:val="11"/>
          <w:szCs w:val="11"/>
          <w:color w:val="auto"/>
        </w:rPr>
        <w:t xml:space="preserve">ORK   </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11"/>
          <w:szCs w:val="11"/>
          <w:color w:val="auto"/>
        </w:rPr>
        <w:t xml:space="preserve">EIJING   </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11"/>
          <w:szCs w:val="11"/>
          <w:color w:val="auto"/>
        </w:rPr>
        <w:t xml:space="preserve">OSTON   </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11"/>
          <w:szCs w:val="11"/>
          <w:color w:val="auto"/>
        </w:rPr>
        <w:t xml:space="preserve">RUSSELS   </w:t>
      </w:r>
      <w:r>
        <w:rPr>
          <w:rFonts w:ascii="Times New Roman" w:cs="Times New Roman" w:eastAsia="Times New Roman" w:hAnsi="Times New Roman"/>
          <w:sz w:val="14"/>
          <w:szCs w:val="14"/>
          <w:color w:val="auto"/>
        </w:rPr>
        <w:t xml:space="preserve"> H</w:t>
      </w:r>
      <w:r>
        <w:rPr>
          <w:rFonts w:ascii="Times New Roman" w:cs="Times New Roman" w:eastAsia="Times New Roman" w:hAnsi="Times New Roman"/>
          <w:sz w:val="11"/>
          <w:szCs w:val="11"/>
          <w:color w:val="auto"/>
        </w:rPr>
        <w:t>ONG</w:t>
      </w:r>
      <w:r>
        <w:rPr>
          <w:rFonts w:ascii="Times New Roman" w:cs="Times New Roman" w:eastAsia="Times New Roman" w:hAnsi="Times New Roman"/>
          <w:sz w:val="14"/>
          <w:szCs w:val="14"/>
          <w:color w:val="auto"/>
        </w:rPr>
        <w:t xml:space="preserve"> K</w:t>
      </w:r>
      <w:r>
        <w:rPr>
          <w:rFonts w:ascii="Times New Roman" w:cs="Times New Roman" w:eastAsia="Times New Roman" w:hAnsi="Times New Roman"/>
          <w:sz w:val="11"/>
          <w:szCs w:val="11"/>
          <w:color w:val="auto"/>
        </w:rPr>
        <w:t xml:space="preserve">ONG   </w:t>
      </w:r>
      <w:r>
        <w:rPr>
          <w:rFonts w:ascii="Times New Roman" w:cs="Times New Roman" w:eastAsia="Times New Roman" w:hAnsi="Times New Roman"/>
          <w:sz w:val="14"/>
          <w:szCs w:val="14"/>
          <w:color w:val="auto"/>
        </w:rPr>
        <w:t xml:space="preserve"> H</w:t>
      </w:r>
      <w:r>
        <w:rPr>
          <w:rFonts w:ascii="Times New Roman" w:cs="Times New Roman" w:eastAsia="Times New Roman" w:hAnsi="Times New Roman"/>
          <w:sz w:val="11"/>
          <w:szCs w:val="11"/>
          <w:color w:val="auto"/>
        </w:rPr>
        <w:t xml:space="preserve">OUSTON   </w:t>
      </w:r>
      <w:r>
        <w:rPr>
          <w:rFonts w:ascii="Times New Roman" w:cs="Times New Roman" w:eastAsia="Times New Roman" w:hAnsi="Times New Roman"/>
          <w:sz w:val="14"/>
          <w:szCs w:val="14"/>
          <w:color w:val="auto"/>
        </w:rPr>
        <w:t xml:space="preserve"> L</w:t>
      </w:r>
      <w:r>
        <w:rPr>
          <w:rFonts w:ascii="Times New Roman" w:cs="Times New Roman" w:eastAsia="Times New Roman" w:hAnsi="Times New Roman"/>
          <w:sz w:val="11"/>
          <w:szCs w:val="11"/>
          <w:color w:val="auto"/>
        </w:rPr>
        <w:t xml:space="preserve">ONDON   </w:t>
      </w:r>
      <w:r>
        <w:rPr>
          <w:rFonts w:ascii="Times New Roman" w:cs="Times New Roman" w:eastAsia="Times New Roman" w:hAnsi="Times New Roman"/>
          <w:sz w:val="14"/>
          <w:szCs w:val="14"/>
          <w:color w:val="auto"/>
        </w:rPr>
        <w:t xml:space="preserve"> L</w:t>
      </w:r>
      <w:r>
        <w:rPr>
          <w:rFonts w:ascii="Times New Roman" w:cs="Times New Roman" w:eastAsia="Times New Roman" w:hAnsi="Times New Roman"/>
          <w:sz w:val="11"/>
          <w:szCs w:val="11"/>
          <w:color w:val="auto"/>
        </w:rPr>
        <w:t>OS</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 xml:space="preserve">NGELES    LUXEMBOURG   </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ALO</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11"/>
          <w:szCs w:val="11"/>
          <w:color w:val="auto"/>
        </w:rPr>
        <w:t xml:space="preserve">LTO   </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AN</w:t>
      </w:r>
      <w:r>
        <w:rPr>
          <w:rFonts w:ascii="Times New Roman" w:cs="Times New Roman" w:eastAsia="Times New Roman" w:hAnsi="Times New Roman"/>
          <w:sz w:val="14"/>
          <w:szCs w:val="14"/>
          <w:color w:val="auto"/>
        </w:rPr>
        <w:t xml:space="preserve"> F</w:t>
      </w:r>
      <w:r>
        <w:rPr>
          <w:rFonts w:ascii="Times New Roman" w:cs="Times New Roman" w:eastAsia="Times New Roman" w:hAnsi="Times New Roman"/>
          <w:sz w:val="11"/>
          <w:szCs w:val="11"/>
          <w:color w:val="auto"/>
        </w:rPr>
        <w:t xml:space="preserve">RANCISCO   </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ÃO</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11"/>
          <w:szCs w:val="11"/>
          <w:color w:val="auto"/>
        </w:rPr>
        <w:t xml:space="preserve">AULO   </w:t>
      </w:r>
      <w:r>
        <w:rPr>
          <w:rFonts w:ascii="Times New Roman" w:cs="Times New Roman" w:eastAsia="Times New Roman" w:hAnsi="Times New Roman"/>
          <w:sz w:val="14"/>
          <w:szCs w:val="14"/>
          <w:color w:val="auto"/>
        </w:rPr>
        <w:t xml:space="preserve"> T</w:t>
      </w:r>
      <w:r>
        <w:rPr>
          <w:rFonts w:ascii="Times New Roman" w:cs="Times New Roman" w:eastAsia="Times New Roman" w:hAnsi="Times New Roman"/>
          <w:sz w:val="11"/>
          <w:szCs w:val="11"/>
          <w:color w:val="auto"/>
        </w:rPr>
        <w:t>OKYO</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March 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52" w:lineRule="exact"/>
        <w:rPr>
          <w:sz w:val="20"/>
          <w:szCs w:val="20"/>
          <w:color w:val="auto"/>
        </w:rPr>
      </w:pPr>
    </w:p>
    <w:p>
      <w:pPr>
        <w:ind w:left="1760"/>
        <w:spacing w:after="0"/>
        <w:tabs>
          <w:tab w:leader="none" w:pos="23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Medline Inc.</w:t>
      </w:r>
    </w:p>
    <w:p>
      <w:pPr>
        <w:spacing w:after="0" w:line="27" w:lineRule="exact"/>
        <w:rPr>
          <w:sz w:val="20"/>
          <w:szCs w:val="20"/>
          <w:color w:val="auto"/>
        </w:rPr>
      </w:pPr>
    </w:p>
    <w:p>
      <w:pPr>
        <w:ind w:left="2400" w:hanging="649"/>
        <w:spacing w:after="0"/>
        <w:tabs>
          <w:tab w:leader="none" w:pos="24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 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Robert Augustin, Esq.</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Medline Inc. (the “Company”) hereby requests that the effective date of the above-referenced Registration Statement be accelerated so that it may become effective at 4:05 p.m., Washington, D.C. time, on March 4, 2026, or as soon as possible thereafter. In this regard, the Company is aware of its obligations under the Securities Act.</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0780"/>
          </w:cols>
          <w:pgMar w:left="440" w:top="270" w:right="679" w:bottom="1440" w:gutter="0" w:footer="0" w:header="0"/>
        </w:sectPr>
      </w:pPr>
    </w:p>
    <w:bookmarkStart w:id="2" w:name="page3"/>
    <w:bookmarkEnd w:id="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MEDLINE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Alexander M.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Name: Alexander M. Liberman</w:t>
      </w:r>
    </w:p>
    <w:p>
      <w:pPr>
        <w:spacing w:after="0" w:line="3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Legal Officer</w:t>
      </w:r>
    </w:p>
    <w:p>
      <w:pPr>
        <w:sectPr>
          <w:pgSz w:w="11900" w:h="16838" w:orient="portrait"/>
          <w:cols w:equalWidth="0" w:num="1">
            <w:col w:w="9019"/>
          </w:cols>
          <w:pgMar w:left="1440" w:top="27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Goldman Sachs &amp; Co.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 West Street, New York, New York 10282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Morgan Stanley &amp; Co.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1585 Broadway, New York, New York 10036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Bryant Park, New York, New York 10036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270 Park Avenue, 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56"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tab/>
        <w:t>Medline Inc.</w:t>
      </w:r>
    </w:p>
    <w:p>
      <w:pPr>
        <w:spacing w:after="0" w:line="27"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on Form S-1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Robert Augustin, Esq.</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above-referenced Registration Statement, and pursuant to Rule 461 under the Securities Act of 1933, as amended (the “Act”), and as representatives of the several underwriters of the proposed public offering of Medline Inc.’s (the “Company”) Class A common stock, we wish to advise you that we hereby join the Company’s request that the effective date of the above-referenced Registration Statement be accelerated so that it may become effective at 4:05 p.m., Washington, D.C. time, on March 4, 2026 or as soon as possible thereafter or at such later time as the Company or its counsel may request.</w:t>
      </w:r>
    </w:p>
    <w:p>
      <w:pPr>
        <w:spacing w:after="0" w:line="183"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Rule 460 under the Act, we, as representatives of the several underwriters, wish to advise you that there will be distributed to each underwriter or dealer, who is reasonably anticipated to participate in the distribution of the security, as many copies of the proposed form of preliminary prospectus as appears to be reasonable to secure adequate distribution of the preliminary prospectus.</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We, the undersigned, as representatives of the several underwriters, have complied and will continue to comply, and we have been informed by the participating underwriters that they have complied and will continue to comply, with the requirements of Rule 15c2-8 under the Securities Exchange Act of 1934, as amended.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Underwriters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GOLDMAN SACHS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Lyla Bibi Maduri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Lyla Bibi Maduri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Kalli Dircks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Kalli Dircks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Justin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Justin Walter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Benjamin Burdett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Benjamin Burdett</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Head of Healthcare ECM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2026-04-06T00:10:24Z</dcterms:created>
  <dcterms:modified xsi:type="dcterms:W3CDTF">2026-04-06T00:10:24Z</dcterms:modified>
</cp:coreProperties>
</file>